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微软雅黑" w:hAnsi="微软雅黑" w:eastAsia="微软雅黑" w:cs="宋体"/>
          <w:b/>
          <w:bCs/>
          <w:color w:val="000000"/>
          <w:kern w:val="0"/>
          <w:sz w:val="32"/>
          <w:szCs w:val="32"/>
        </w:rPr>
      </w:pPr>
    </w:p>
    <w:p>
      <w:pPr>
        <w:widowControl/>
        <w:spacing w:line="360" w:lineRule="auto"/>
        <w:jc w:val="center"/>
        <w:rPr>
          <w:rFonts w:ascii="微软雅黑" w:hAnsi="微软雅黑" w:eastAsia="微软雅黑" w:cs="宋体"/>
          <w:b/>
          <w:bCs/>
          <w:color w:val="000000"/>
          <w:kern w:val="0"/>
          <w:sz w:val="32"/>
          <w:szCs w:val="32"/>
        </w:rPr>
      </w:pPr>
    </w:p>
    <w:p>
      <w:pPr>
        <w:pStyle w:val="9"/>
        <w:ind w:firstLine="2081" w:firstLineChars="650"/>
        <w:jc w:val="both"/>
        <w:rPr>
          <w:rFonts w:ascii="微软雅黑" w:hAnsi="微软雅黑" w:eastAsia="微软雅黑"/>
          <w:b/>
          <w:sz w:val="32"/>
          <w:szCs w:val="32"/>
        </w:rPr>
      </w:pPr>
      <w:r>
        <w:rPr>
          <w:rFonts w:hint="eastAsia" w:ascii="微软雅黑" w:hAnsi="微软雅黑" w:eastAsia="微软雅黑"/>
          <w:b/>
          <w:sz w:val="32"/>
          <w:szCs w:val="32"/>
        </w:rPr>
        <w:t>自然人投资者账户开户</w:t>
      </w:r>
      <w:r>
        <w:rPr>
          <w:rFonts w:ascii="微软雅黑" w:hAnsi="微软雅黑" w:eastAsia="微软雅黑"/>
          <w:b/>
          <w:sz w:val="32"/>
          <w:szCs w:val="32"/>
        </w:rPr>
        <w:t>文本</w:t>
      </w:r>
    </w:p>
    <w:p>
      <w:pPr>
        <w:widowControl/>
        <w:spacing w:after="312" w:afterLines="100" w:line="480" w:lineRule="auto"/>
        <w:jc w:val="center"/>
        <w:rPr>
          <w:rFonts w:hint="eastAsia" w:ascii="微软雅黑" w:hAnsi="微软雅黑" w:eastAsia="微软雅黑" w:cs="宋体"/>
          <w:b/>
          <w:bCs/>
          <w:color w:val="000000"/>
          <w:kern w:val="0"/>
          <w:sz w:val="32"/>
          <w:szCs w:val="32"/>
        </w:rPr>
      </w:pPr>
    </w:p>
    <w:tbl>
      <w:tblPr>
        <w:tblStyle w:val="7"/>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680"/>
        <w:gridCol w:w="825"/>
        <w:gridCol w:w="1665"/>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pStyle w:val="9"/>
              <w:spacing w:line="240" w:lineRule="auto"/>
              <w:ind w:firstLine="0" w:firstLineChars="0"/>
              <w:jc w:val="center"/>
              <w:rPr>
                <w:rFonts w:hint="eastAsia" w:ascii="仿宋" w:hAnsi="仿宋" w:eastAsia="仿宋" w:cs="仿宋"/>
                <w:b/>
                <w:bCs w:val="0"/>
                <w:color w:val="auto"/>
                <w:sz w:val="24"/>
                <w:szCs w:val="24"/>
                <w:shd w:val="clear" w:color="auto" w:fill="auto"/>
              </w:rPr>
            </w:pPr>
            <w:r>
              <w:rPr>
                <w:rFonts w:hint="eastAsia" w:ascii="仿宋" w:hAnsi="仿宋" w:eastAsia="仿宋" w:cs="仿宋"/>
                <w:b/>
                <w:bCs w:val="0"/>
                <w:color w:val="auto"/>
                <w:sz w:val="24"/>
                <w:szCs w:val="24"/>
                <w:shd w:val="clear" w:color="auto" w:fill="auto"/>
              </w:rPr>
              <w:t>序号</w:t>
            </w:r>
          </w:p>
        </w:tc>
        <w:tc>
          <w:tcPr>
            <w:tcW w:w="3680" w:type="dxa"/>
            <w:noWrap w:val="0"/>
            <w:vAlign w:val="center"/>
          </w:tcPr>
          <w:p>
            <w:pPr>
              <w:pStyle w:val="9"/>
              <w:spacing w:line="240" w:lineRule="auto"/>
              <w:ind w:firstLine="0" w:firstLineChars="0"/>
              <w:jc w:val="center"/>
              <w:rPr>
                <w:rFonts w:hint="eastAsia" w:ascii="仿宋" w:hAnsi="仿宋" w:eastAsia="仿宋" w:cs="仿宋"/>
                <w:b/>
                <w:bCs w:val="0"/>
                <w:color w:val="auto"/>
                <w:sz w:val="24"/>
                <w:szCs w:val="24"/>
                <w:shd w:val="clear" w:color="auto" w:fill="auto"/>
              </w:rPr>
            </w:pPr>
            <w:r>
              <w:rPr>
                <w:rFonts w:hint="eastAsia" w:ascii="仿宋" w:hAnsi="仿宋" w:eastAsia="仿宋" w:cs="仿宋"/>
                <w:b/>
                <w:bCs w:val="0"/>
                <w:color w:val="auto"/>
                <w:sz w:val="24"/>
                <w:szCs w:val="24"/>
                <w:shd w:val="clear" w:color="auto" w:fill="auto"/>
              </w:rPr>
              <w:t>文件名称</w:t>
            </w:r>
          </w:p>
        </w:tc>
        <w:tc>
          <w:tcPr>
            <w:tcW w:w="825" w:type="dxa"/>
            <w:noWrap w:val="0"/>
            <w:vAlign w:val="center"/>
          </w:tcPr>
          <w:p>
            <w:pPr>
              <w:pStyle w:val="9"/>
              <w:spacing w:line="240" w:lineRule="auto"/>
              <w:ind w:firstLine="0" w:firstLineChars="0"/>
              <w:jc w:val="center"/>
              <w:rPr>
                <w:rFonts w:hint="eastAsia" w:ascii="仿宋" w:hAnsi="仿宋" w:eastAsia="仿宋" w:cs="仿宋"/>
                <w:b/>
                <w:bCs w:val="0"/>
                <w:color w:val="auto"/>
                <w:sz w:val="24"/>
                <w:szCs w:val="24"/>
                <w:shd w:val="clear" w:color="auto" w:fill="auto"/>
              </w:rPr>
            </w:pPr>
            <w:r>
              <w:rPr>
                <w:rFonts w:hint="eastAsia" w:ascii="仿宋" w:hAnsi="仿宋" w:eastAsia="仿宋" w:cs="仿宋"/>
                <w:b/>
                <w:bCs w:val="0"/>
                <w:color w:val="auto"/>
                <w:sz w:val="24"/>
                <w:szCs w:val="24"/>
                <w:shd w:val="clear" w:color="auto" w:fill="auto"/>
              </w:rPr>
              <w:t>数量</w:t>
            </w:r>
          </w:p>
        </w:tc>
        <w:tc>
          <w:tcPr>
            <w:tcW w:w="1665" w:type="dxa"/>
            <w:noWrap w:val="0"/>
            <w:vAlign w:val="center"/>
          </w:tcPr>
          <w:p>
            <w:pPr>
              <w:pStyle w:val="9"/>
              <w:spacing w:line="240" w:lineRule="auto"/>
              <w:ind w:firstLine="0" w:firstLineChars="0"/>
              <w:jc w:val="center"/>
              <w:rPr>
                <w:rFonts w:hint="eastAsia" w:ascii="仿宋" w:hAnsi="仿宋" w:eastAsia="仿宋" w:cs="仿宋"/>
                <w:b/>
                <w:bCs w:val="0"/>
                <w:color w:val="auto"/>
                <w:sz w:val="24"/>
                <w:szCs w:val="24"/>
                <w:shd w:val="clear" w:color="auto" w:fill="auto"/>
              </w:rPr>
            </w:pPr>
            <w:r>
              <w:rPr>
                <w:rFonts w:hint="eastAsia" w:ascii="仿宋" w:hAnsi="仿宋" w:eastAsia="仿宋" w:cs="仿宋"/>
                <w:b/>
                <w:bCs w:val="0"/>
                <w:color w:val="auto"/>
                <w:sz w:val="24"/>
                <w:szCs w:val="24"/>
                <w:shd w:val="clear" w:color="auto" w:fill="auto"/>
              </w:rPr>
              <w:t>签章位置</w:t>
            </w:r>
          </w:p>
        </w:tc>
        <w:tc>
          <w:tcPr>
            <w:tcW w:w="2925" w:type="dxa"/>
            <w:noWrap w:val="0"/>
            <w:vAlign w:val="center"/>
          </w:tcPr>
          <w:p>
            <w:pPr>
              <w:pStyle w:val="9"/>
              <w:spacing w:line="240" w:lineRule="auto"/>
              <w:ind w:firstLine="0" w:firstLineChars="0"/>
              <w:jc w:val="center"/>
              <w:rPr>
                <w:rFonts w:hint="eastAsia" w:ascii="仿宋" w:hAnsi="仿宋" w:eastAsia="仿宋" w:cs="仿宋"/>
                <w:b/>
                <w:bCs w:val="0"/>
                <w:color w:val="auto"/>
                <w:sz w:val="24"/>
                <w:szCs w:val="24"/>
                <w:shd w:val="clear" w:color="auto" w:fill="auto"/>
              </w:rPr>
            </w:pPr>
            <w:r>
              <w:rPr>
                <w:rFonts w:hint="eastAsia" w:ascii="仿宋" w:hAnsi="仿宋" w:eastAsia="仿宋" w:cs="仿宋"/>
                <w:b/>
                <w:bCs w:val="0"/>
                <w:color w:val="auto"/>
                <w:sz w:val="24"/>
                <w:szCs w:val="24"/>
                <w:shd w:val="clear" w:color="auto" w:fill="auto"/>
              </w:rPr>
              <w:t>签章内容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3680"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投资者账户开立申请表</w:t>
            </w:r>
          </w:p>
        </w:tc>
        <w:tc>
          <w:tcPr>
            <w:tcW w:w="82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166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文件内容处</w:t>
            </w:r>
          </w:p>
        </w:tc>
        <w:tc>
          <w:tcPr>
            <w:tcW w:w="292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自然人投资者签名按手印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w:t>
            </w:r>
          </w:p>
        </w:tc>
        <w:tc>
          <w:tcPr>
            <w:tcW w:w="3680"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投资者有效身份证明</w:t>
            </w:r>
            <w:r>
              <w:rPr>
                <w:rFonts w:hint="eastAsia" w:ascii="仿宋" w:hAnsi="仿宋" w:eastAsia="仿宋" w:cs="仿宋"/>
                <w:b w:val="0"/>
                <w:bCs/>
                <w:color w:val="auto"/>
                <w:sz w:val="24"/>
                <w:szCs w:val="24"/>
                <w:lang w:val="en-US" w:eastAsia="zh-CN"/>
              </w:rPr>
              <w:t>文件</w:t>
            </w:r>
          </w:p>
        </w:tc>
        <w:tc>
          <w:tcPr>
            <w:tcW w:w="82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166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文件内容处</w:t>
            </w:r>
          </w:p>
        </w:tc>
        <w:tc>
          <w:tcPr>
            <w:tcW w:w="292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自然人投资者签名按手印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w:t>
            </w:r>
          </w:p>
        </w:tc>
        <w:tc>
          <w:tcPr>
            <w:tcW w:w="3680"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风险揭示书</w:t>
            </w:r>
          </w:p>
        </w:tc>
        <w:tc>
          <w:tcPr>
            <w:tcW w:w="82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166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文件内容处</w:t>
            </w:r>
          </w:p>
        </w:tc>
        <w:tc>
          <w:tcPr>
            <w:tcW w:w="292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自然人投资者签名按手印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w:t>
            </w:r>
          </w:p>
        </w:tc>
        <w:tc>
          <w:tcPr>
            <w:tcW w:w="3680"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投资者账户业务办理须知</w:t>
            </w:r>
          </w:p>
        </w:tc>
        <w:tc>
          <w:tcPr>
            <w:tcW w:w="82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166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文件内容处</w:t>
            </w:r>
          </w:p>
        </w:tc>
        <w:tc>
          <w:tcPr>
            <w:tcW w:w="292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自然人投资者签名按手印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w:t>
            </w:r>
          </w:p>
        </w:tc>
        <w:tc>
          <w:tcPr>
            <w:tcW w:w="3680"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投资者账户申请人承诺书</w:t>
            </w:r>
          </w:p>
        </w:tc>
        <w:tc>
          <w:tcPr>
            <w:tcW w:w="82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166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文件内容处</w:t>
            </w:r>
          </w:p>
        </w:tc>
        <w:tc>
          <w:tcPr>
            <w:tcW w:w="292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自然人投资者签名按手印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6</w:t>
            </w:r>
          </w:p>
        </w:tc>
        <w:tc>
          <w:tcPr>
            <w:tcW w:w="3680"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风险测评书</w:t>
            </w:r>
          </w:p>
        </w:tc>
        <w:tc>
          <w:tcPr>
            <w:tcW w:w="82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166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文件内容处</w:t>
            </w:r>
          </w:p>
        </w:tc>
        <w:tc>
          <w:tcPr>
            <w:tcW w:w="292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自然人投资者签名按手印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pStyle w:val="9"/>
              <w:spacing w:line="240" w:lineRule="auto"/>
              <w:ind w:firstLine="0" w:firstLineChars="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w:t>
            </w:r>
          </w:p>
        </w:tc>
        <w:tc>
          <w:tcPr>
            <w:tcW w:w="3680"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银行资金账户指定确认书</w:t>
            </w:r>
          </w:p>
        </w:tc>
        <w:tc>
          <w:tcPr>
            <w:tcW w:w="825" w:type="dxa"/>
            <w:noWrap w:val="0"/>
            <w:vAlign w:val="center"/>
          </w:tcPr>
          <w:p>
            <w:pPr>
              <w:pStyle w:val="9"/>
              <w:spacing w:line="240" w:lineRule="auto"/>
              <w:ind w:firstLine="0" w:firstLineChars="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w:t>
            </w:r>
          </w:p>
        </w:tc>
        <w:tc>
          <w:tcPr>
            <w:tcW w:w="166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文件内容处</w:t>
            </w:r>
          </w:p>
        </w:tc>
        <w:tc>
          <w:tcPr>
            <w:tcW w:w="292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自然人投资者签名按手印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pStyle w:val="9"/>
              <w:spacing w:line="240" w:lineRule="auto"/>
              <w:ind w:firstLine="0" w:firstLineChars="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8</w:t>
            </w:r>
          </w:p>
        </w:tc>
        <w:tc>
          <w:tcPr>
            <w:tcW w:w="3680"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银行卡复印件</w:t>
            </w:r>
          </w:p>
        </w:tc>
        <w:tc>
          <w:tcPr>
            <w:tcW w:w="825" w:type="dxa"/>
            <w:noWrap w:val="0"/>
            <w:vAlign w:val="center"/>
          </w:tcPr>
          <w:p>
            <w:pPr>
              <w:pStyle w:val="9"/>
              <w:spacing w:line="240" w:lineRule="auto"/>
              <w:ind w:firstLine="0" w:firstLineChars="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w:t>
            </w:r>
          </w:p>
        </w:tc>
        <w:tc>
          <w:tcPr>
            <w:tcW w:w="166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文件内容处</w:t>
            </w:r>
          </w:p>
        </w:tc>
        <w:tc>
          <w:tcPr>
            <w:tcW w:w="292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自然人投资者签名按手印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pStyle w:val="9"/>
              <w:spacing w:line="240" w:lineRule="auto"/>
              <w:ind w:firstLine="0" w:firstLineChars="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9</w:t>
            </w:r>
          </w:p>
        </w:tc>
        <w:tc>
          <w:tcPr>
            <w:tcW w:w="3680"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合格投资者证明材料</w:t>
            </w:r>
          </w:p>
        </w:tc>
        <w:tc>
          <w:tcPr>
            <w:tcW w:w="82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166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文件内容处</w:t>
            </w:r>
          </w:p>
        </w:tc>
        <w:tc>
          <w:tcPr>
            <w:tcW w:w="2925" w:type="dxa"/>
            <w:noWrap w:val="0"/>
            <w:vAlign w:val="center"/>
          </w:tcPr>
          <w:p>
            <w:pPr>
              <w:pStyle w:val="9"/>
              <w:spacing w:line="24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自然人投资者签名按手印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9916" w:type="dxa"/>
            <w:gridSpan w:val="5"/>
            <w:noWrap w:val="0"/>
            <w:vAlign w:val="center"/>
          </w:tcPr>
          <w:p>
            <w:pPr>
              <w:pStyle w:val="9"/>
              <w:spacing w:line="240" w:lineRule="auto"/>
              <w:ind w:firstLine="0" w:firstLineChars="0"/>
              <w:jc w:val="left"/>
              <w:rPr>
                <w:rFonts w:hint="eastAsia" w:ascii="仿宋" w:hAnsi="仿宋" w:eastAsia="仿宋" w:cs="仿宋"/>
                <w:b/>
                <w:bCs w:val="0"/>
                <w:color w:val="FF0000"/>
                <w:sz w:val="24"/>
                <w:szCs w:val="24"/>
              </w:rPr>
            </w:pPr>
            <w:r>
              <w:rPr>
                <w:rFonts w:hint="eastAsia" w:ascii="仿宋" w:hAnsi="仿宋" w:eastAsia="仿宋" w:cs="仿宋"/>
                <w:b/>
                <w:bCs w:val="0"/>
                <w:color w:val="FF0000"/>
                <w:sz w:val="24"/>
                <w:szCs w:val="24"/>
              </w:rPr>
              <w:t>备注：</w:t>
            </w:r>
          </w:p>
          <w:p>
            <w:pPr>
              <w:pStyle w:val="9"/>
              <w:spacing w:line="240" w:lineRule="auto"/>
              <w:ind w:firstLine="0" w:firstLineChars="0"/>
              <w:jc w:val="left"/>
              <w:rPr>
                <w:rFonts w:hint="eastAsia" w:ascii="仿宋" w:hAnsi="仿宋" w:eastAsia="仿宋" w:cs="仿宋"/>
                <w:b/>
                <w:bCs w:val="0"/>
                <w:color w:val="FF0000"/>
                <w:sz w:val="24"/>
                <w:szCs w:val="24"/>
              </w:rPr>
            </w:pPr>
          </w:p>
          <w:p>
            <w:pPr>
              <w:pStyle w:val="9"/>
              <w:numPr>
                <w:ilvl w:val="0"/>
                <w:numId w:val="1"/>
              </w:numPr>
              <w:spacing w:line="240" w:lineRule="auto"/>
              <w:ind w:firstLine="0" w:firstLineChars="0"/>
              <w:jc w:val="left"/>
              <w:rPr>
                <w:rFonts w:hint="eastAsia" w:ascii="仿宋" w:hAnsi="仿宋" w:eastAsia="仿宋" w:cs="仿宋"/>
                <w:b w:val="0"/>
                <w:bCs/>
                <w:color w:val="FF0000"/>
                <w:sz w:val="24"/>
                <w:szCs w:val="24"/>
              </w:rPr>
            </w:pPr>
            <w:r>
              <w:rPr>
                <w:rFonts w:hint="eastAsia" w:ascii="仿宋" w:hAnsi="仿宋" w:eastAsia="仿宋" w:cs="仿宋"/>
                <w:b w:val="0"/>
                <w:bCs/>
                <w:color w:val="FF0000"/>
                <w:sz w:val="24"/>
                <w:szCs w:val="24"/>
              </w:rPr>
              <w:t>委托他人代办的，还需提供经公证的授权委托书、受托人有效身份证明文件。</w:t>
            </w:r>
          </w:p>
          <w:p>
            <w:pPr>
              <w:pStyle w:val="9"/>
              <w:numPr>
                <w:ilvl w:val="0"/>
                <w:numId w:val="0"/>
              </w:numPr>
              <w:spacing w:line="240" w:lineRule="auto"/>
              <w:jc w:val="left"/>
              <w:rPr>
                <w:rFonts w:hint="eastAsia" w:ascii="仿宋" w:hAnsi="仿宋" w:eastAsia="仿宋" w:cs="仿宋"/>
                <w:b w:val="0"/>
                <w:bCs/>
                <w:color w:val="FF0000"/>
                <w:sz w:val="24"/>
                <w:szCs w:val="24"/>
              </w:rPr>
            </w:pPr>
            <w:r>
              <w:rPr>
                <w:rFonts w:hint="eastAsia" w:ascii="仿宋" w:hAnsi="仿宋" w:eastAsia="仿宋" w:cs="仿宋"/>
                <w:b w:val="0"/>
                <w:bCs/>
                <w:color w:val="FF0000"/>
                <w:sz w:val="24"/>
                <w:szCs w:val="24"/>
                <w:lang w:val="en-US" w:eastAsia="zh-CN"/>
              </w:rPr>
              <w:t>2、多页文件须加骑缝手印确认。</w:t>
            </w:r>
          </w:p>
          <w:p>
            <w:pPr>
              <w:pStyle w:val="9"/>
              <w:numPr>
                <w:ilvl w:val="0"/>
                <w:numId w:val="0"/>
              </w:numPr>
              <w:spacing w:line="240" w:lineRule="auto"/>
              <w:jc w:val="left"/>
              <w:rPr>
                <w:rFonts w:hint="eastAsia" w:ascii="仿宋" w:hAnsi="仿宋" w:eastAsia="仿宋" w:cs="仿宋"/>
                <w:b w:val="0"/>
                <w:bCs/>
                <w:color w:val="FF0000"/>
                <w:sz w:val="24"/>
                <w:szCs w:val="24"/>
                <w:lang w:val="en-US" w:eastAsia="zh-CN"/>
              </w:rPr>
            </w:pPr>
            <w:r>
              <w:rPr>
                <w:rFonts w:hint="eastAsia" w:ascii="仿宋" w:hAnsi="仿宋" w:eastAsia="仿宋" w:cs="仿宋"/>
                <w:b w:val="0"/>
                <w:bCs/>
                <w:color w:val="FF0000"/>
                <w:sz w:val="24"/>
                <w:szCs w:val="24"/>
                <w:lang w:val="en-US" w:eastAsia="zh-CN"/>
              </w:rPr>
              <w:t>3、填写内容修改处须加骑缝手印确认。</w:t>
            </w:r>
          </w:p>
        </w:tc>
      </w:tr>
    </w:tbl>
    <w:p>
      <w:pPr>
        <w:widowControl/>
        <w:spacing w:after="312" w:afterLines="100" w:line="480" w:lineRule="auto"/>
        <w:jc w:val="both"/>
        <w:rPr>
          <w:rFonts w:hint="eastAsia" w:ascii="微软雅黑" w:hAnsi="微软雅黑" w:eastAsia="微软雅黑" w:cs="宋体"/>
          <w:b/>
          <w:bCs/>
          <w:color w:val="000000"/>
          <w:kern w:val="0"/>
          <w:sz w:val="32"/>
          <w:szCs w:val="32"/>
        </w:rPr>
      </w:pPr>
    </w:p>
    <w:p>
      <w:pPr>
        <w:widowControl/>
        <w:spacing w:after="312" w:afterLines="100" w:line="480" w:lineRule="auto"/>
        <w:jc w:val="center"/>
        <w:rPr>
          <w:rFonts w:hint="eastAsia" w:ascii="微软雅黑" w:hAnsi="微软雅黑" w:eastAsia="微软雅黑" w:cs="宋体"/>
          <w:b/>
          <w:bCs/>
          <w:color w:val="000000"/>
          <w:kern w:val="0"/>
          <w:sz w:val="32"/>
          <w:szCs w:val="32"/>
        </w:rPr>
      </w:pPr>
    </w:p>
    <w:p>
      <w:pPr>
        <w:widowControl/>
        <w:spacing w:after="312" w:afterLines="100" w:line="480" w:lineRule="auto"/>
        <w:jc w:val="center"/>
        <w:rPr>
          <w:rFonts w:ascii="微软雅黑" w:hAnsi="微软雅黑" w:eastAsia="微软雅黑" w:cs="宋体"/>
          <w:b/>
          <w:bCs/>
          <w:color w:val="000000"/>
          <w:kern w:val="0"/>
          <w:sz w:val="32"/>
          <w:szCs w:val="32"/>
        </w:rPr>
      </w:pPr>
      <w:r>
        <w:rPr>
          <w:rFonts w:hint="eastAsia" w:ascii="微软雅黑" w:hAnsi="微软雅黑" w:eastAsia="微软雅黑" w:cs="宋体"/>
          <w:b/>
          <w:bCs/>
          <w:color w:val="000000"/>
          <w:kern w:val="0"/>
          <w:sz w:val="32"/>
          <w:szCs w:val="32"/>
        </w:rPr>
        <w:t>投资者账户开立申请表（适用于自然人）</w:t>
      </w:r>
    </w:p>
    <w:tbl>
      <w:tblPr>
        <w:tblStyle w:val="6"/>
        <w:tblW w:w="10682" w:type="dxa"/>
        <w:jc w:val="center"/>
        <w:tblLayout w:type="fixed"/>
        <w:tblCellMar>
          <w:top w:w="0" w:type="dxa"/>
          <w:left w:w="108" w:type="dxa"/>
          <w:bottom w:w="0" w:type="dxa"/>
          <w:right w:w="108" w:type="dxa"/>
        </w:tblCellMar>
      </w:tblPr>
      <w:tblGrid>
        <w:gridCol w:w="534"/>
        <w:gridCol w:w="2265"/>
        <w:gridCol w:w="1575"/>
        <w:gridCol w:w="800"/>
        <w:gridCol w:w="1075"/>
        <w:gridCol w:w="1600"/>
        <w:gridCol w:w="1100"/>
        <w:gridCol w:w="1733"/>
      </w:tblGrid>
      <w:tr>
        <w:tblPrEx>
          <w:tblCellMar>
            <w:top w:w="0" w:type="dxa"/>
            <w:left w:w="108" w:type="dxa"/>
            <w:bottom w:w="0" w:type="dxa"/>
            <w:right w:w="108" w:type="dxa"/>
          </w:tblCellMar>
        </w:tblPrEx>
        <w:trPr>
          <w:trHeight w:val="510" w:hRule="atLeast"/>
          <w:jc w:val="center"/>
        </w:trPr>
        <w:tc>
          <w:tcPr>
            <w:tcW w:w="534" w:type="dxa"/>
            <w:vMerge w:val="restart"/>
            <w:tcBorders>
              <w:top w:val="single" w:color="auto" w:sz="8" w:space="0"/>
              <w:left w:val="single" w:color="auto" w:sz="8" w:space="0"/>
              <w:right w:val="single" w:color="auto" w:sz="4" w:space="0"/>
            </w:tcBorders>
            <w:shd w:val="clear" w:color="auto" w:fill="auto"/>
            <w:noWrap/>
            <w:textDirection w:val="tbRlV"/>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信息采集</w:t>
            </w:r>
          </w:p>
        </w:tc>
        <w:tc>
          <w:tcPr>
            <w:tcW w:w="10148" w:type="dxa"/>
            <w:gridSpan w:val="7"/>
            <w:tcBorders>
              <w:top w:val="single" w:color="auto" w:sz="8" w:space="0"/>
              <w:left w:val="nil"/>
              <w:bottom w:val="single" w:color="auto" w:sz="4" w:space="0"/>
              <w:right w:val="single" w:color="000000" w:sz="8" w:space="0"/>
            </w:tcBorders>
            <w:shd w:val="clear" w:color="000000" w:fill="EEECE1"/>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2"/>
              </w:rPr>
              <w:t>身份信息</w:t>
            </w:r>
          </w:p>
        </w:tc>
      </w:tr>
      <w:tr>
        <w:tblPrEx>
          <w:tblCellMar>
            <w:top w:w="0" w:type="dxa"/>
            <w:left w:w="108" w:type="dxa"/>
            <w:bottom w:w="0" w:type="dxa"/>
            <w:right w:w="108" w:type="dxa"/>
          </w:tblCellMar>
        </w:tblPrEx>
        <w:trPr>
          <w:trHeight w:val="454" w:hRule="atLeast"/>
          <w:jc w:val="center"/>
        </w:trPr>
        <w:tc>
          <w:tcPr>
            <w:tcW w:w="534" w:type="dxa"/>
            <w:vMerge w:val="continue"/>
            <w:tcBorders>
              <w:left w:val="single" w:color="auto" w:sz="8" w:space="0"/>
              <w:right w:val="single" w:color="auto" w:sz="4" w:space="0"/>
            </w:tcBorders>
            <w:shd w:val="clear" w:color="auto" w:fill="auto"/>
            <w:vAlign w:val="center"/>
          </w:tcPr>
          <w:p>
            <w:pPr>
              <w:widowControl/>
              <w:jc w:val="left"/>
              <w:rPr>
                <w:rFonts w:ascii="仿宋" w:hAnsi="仿宋" w:eastAsia="仿宋" w:cs="宋体"/>
                <w:b/>
                <w:bCs/>
                <w:color w:val="000000"/>
                <w:kern w:val="0"/>
                <w:sz w:val="22"/>
              </w:rPr>
            </w:pPr>
          </w:p>
        </w:tc>
        <w:tc>
          <w:tcPr>
            <w:tcW w:w="226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投资者姓名</w:t>
            </w:r>
          </w:p>
        </w:tc>
        <w:tc>
          <w:tcPr>
            <w:tcW w:w="23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26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国籍或地区</w:t>
            </w:r>
          </w:p>
        </w:tc>
        <w:tc>
          <w:tcPr>
            <w:tcW w:w="2833" w:type="dxa"/>
            <w:gridSpan w:val="2"/>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997" w:hRule="atLeast"/>
          <w:jc w:val="center"/>
        </w:trPr>
        <w:tc>
          <w:tcPr>
            <w:tcW w:w="534" w:type="dxa"/>
            <w:vMerge w:val="continue"/>
            <w:tcBorders>
              <w:left w:val="single" w:color="auto" w:sz="8" w:space="0"/>
              <w:right w:val="single" w:color="auto" w:sz="4" w:space="0"/>
            </w:tcBorders>
            <w:shd w:val="clear" w:color="auto" w:fill="auto"/>
            <w:vAlign w:val="center"/>
          </w:tcPr>
          <w:p>
            <w:pPr>
              <w:widowControl/>
              <w:jc w:val="left"/>
              <w:rPr>
                <w:rFonts w:ascii="仿宋" w:hAnsi="仿宋" w:eastAsia="仿宋" w:cs="宋体"/>
                <w:b/>
                <w:bCs/>
                <w:color w:val="000000"/>
                <w:kern w:val="0"/>
                <w:sz w:val="22"/>
              </w:rPr>
            </w:pPr>
          </w:p>
        </w:tc>
        <w:tc>
          <w:tcPr>
            <w:tcW w:w="22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身份证明文件类别</w:t>
            </w:r>
          </w:p>
        </w:tc>
        <w:tc>
          <w:tcPr>
            <w:tcW w:w="7883" w:type="dxa"/>
            <w:gridSpan w:val="6"/>
            <w:tcBorders>
              <w:top w:val="single" w:color="auto" w:sz="4" w:space="0"/>
              <w:left w:val="nil"/>
              <w:right w:val="single" w:color="000000" w:sz="8"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□居民身份证              □澳门居民身份证           □香港澳居民身份证</w:t>
            </w:r>
          </w:p>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□港澳居民往来内地通行证  □台湾居民往来内地通行证   □护照</w:t>
            </w:r>
          </w:p>
          <w:p>
            <w:pPr>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□外国人永久居留证        □港澳台居民居住证         □其他</w:t>
            </w:r>
          </w:p>
        </w:tc>
      </w:tr>
      <w:tr>
        <w:tblPrEx>
          <w:tblCellMar>
            <w:top w:w="0" w:type="dxa"/>
            <w:left w:w="108" w:type="dxa"/>
            <w:bottom w:w="0" w:type="dxa"/>
            <w:right w:w="108" w:type="dxa"/>
          </w:tblCellMar>
        </w:tblPrEx>
        <w:trPr>
          <w:trHeight w:val="454" w:hRule="atLeast"/>
          <w:jc w:val="center"/>
        </w:trPr>
        <w:tc>
          <w:tcPr>
            <w:tcW w:w="534" w:type="dxa"/>
            <w:vMerge w:val="continue"/>
            <w:tcBorders>
              <w:left w:val="single" w:color="auto" w:sz="8" w:space="0"/>
              <w:right w:val="single" w:color="auto" w:sz="4" w:space="0"/>
            </w:tcBorders>
            <w:shd w:val="clear" w:color="auto" w:fill="auto"/>
            <w:vAlign w:val="center"/>
          </w:tcPr>
          <w:p>
            <w:pPr>
              <w:widowControl/>
              <w:jc w:val="left"/>
              <w:rPr>
                <w:rFonts w:ascii="仿宋" w:hAnsi="仿宋" w:eastAsia="仿宋" w:cs="宋体"/>
                <w:b/>
                <w:bCs/>
                <w:color w:val="000000"/>
                <w:kern w:val="0"/>
                <w:sz w:val="22"/>
              </w:rPr>
            </w:pPr>
          </w:p>
        </w:tc>
        <w:tc>
          <w:tcPr>
            <w:tcW w:w="22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证件有效期截止日期</w:t>
            </w:r>
          </w:p>
        </w:tc>
        <w:tc>
          <w:tcPr>
            <w:tcW w:w="7883" w:type="dxa"/>
            <w:gridSpan w:val="6"/>
            <w:tcBorders>
              <w:top w:val="single" w:color="auto" w:sz="4" w:space="0"/>
              <w:left w:val="nil"/>
              <w:bottom w:val="single" w:color="auto" w:sz="4" w:space="0"/>
              <w:right w:val="single" w:color="000000" w:sz="8"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年  </w:t>
            </w:r>
            <w:r>
              <w:rPr>
                <w:rFonts w:ascii="仿宋" w:hAnsi="仿宋" w:eastAsia="仿宋" w:cs="宋体"/>
                <w:color w:val="000000"/>
                <w:kern w:val="0"/>
                <w:sz w:val="20"/>
                <w:szCs w:val="20"/>
              </w:rPr>
              <w:t xml:space="preserve"> </w:t>
            </w:r>
            <w:r>
              <w:rPr>
                <w:rFonts w:hint="eastAsia" w:ascii="仿宋" w:hAnsi="仿宋" w:eastAsia="仿宋" w:cs="宋体"/>
                <w:color w:val="000000"/>
                <w:kern w:val="0"/>
                <w:sz w:val="20"/>
                <w:szCs w:val="20"/>
              </w:rPr>
              <w:t xml:space="preserve"> 月   日              □ 长期有效</w:t>
            </w:r>
          </w:p>
        </w:tc>
      </w:tr>
      <w:tr>
        <w:tblPrEx>
          <w:tblCellMar>
            <w:top w:w="0" w:type="dxa"/>
            <w:left w:w="108" w:type="dxa"/>
            <w:bottom w:w="0" w:type="dxa"/>
            <w:right w:w="108" w:type="dxa"/>
          </w:tblCellMar>
        </w:tblPrEx>
        <w:trPr>
          <w:trHeight w:val="454" w:hRule="atLeast"/>
          <w:jc w:val="center"/>
        </w:trPr>
        <w:tc>
          <w:tcPr>
            <w:tcW w:w="534" w:type="dxa"/>
            <w:vMerge w:val="continue"/>
            <w:tcBorders>
              <w:left w:val="single" w:color="auto" w:sz="8" w:space="0"/>
              <w:right w:val="single" w:color="auto" w:sz="4" w:space="0"/>
            </w:tcBorders>
            <w:shd w:val="clear" w:color="auto" w:fill="auto"/>
            <w:vAlign w:val="center"/>
          </w:tcPr>
          <w:p>
            <w:pPr>
              <w:widowControl/>
              <w:jc w:val="left"/>
              <w:rPr>
                <w:rFonts w:ascii="仿宋" w:hAnsi="仿宋" w:eastAsia="仿宋" w:cs="宋体"/>
                <w:b/>
                <w:bCs/>
                <w:color w:val="000000"/>
                <w:kern w:val="0"/>
                <w:sz w:val="22"/>
              </w:rPr>
            </w:pPr>
          </w:p>
        </w:tc>
        <w:tc>
          <w:tcPr>
            <w:tcW w:w="22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身份证明文件号码</w:t>
            </w:r>
          </w:p>
        </w:tc>
        <w:tc>
          <w:tcPr>
            <w:tcW w:w="237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267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身份证明文件注册地址</w:t>
            </w:r>
          </w:p>
        </w:tc>
        <w:tc>
          <w:tcPr>
            <w:tcW w:w="2833" w:type="dxa"/>
            <w:gridSpan w:val="2"/>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510" w:hRule="atLeast"/>
          <w:jc w:val="center"/>
        </w:trPr>
        <w:tc>
          <w:tcPr>
            <w:tcW w:w="534" w:type="dxa"/>
            <w:vMerge w:val="continue"/>
            <w:tcBorders>
              <w:left w:val="single" w:color="auto" w:sz="8" w:space="0"/>
              <w:right w:val="single" w:color="auto" w:sz="4" w:space="0"/>
            </w:tcBorders>
            <w:shd w:val="clear" w:color="auto" w:fill="auto"/>
            <w:vAlign w:val="center"/>
          </w:tcPr>
          <w:p>
            <w:pPr>
              <w:widowControl/>
              <w:jc w:val="left"/>
              <w:rPr>
                <w:rFonts w:ascii="仿宋" w:hAnsi="仿宋" w:eastAsia="仿宋" w:cs="宋体"/>
                <w:b/>
                <w:bCs/>
                <w:color w:val="000000"/>
                <w:kern w:val="0"/>
                <w:sz w:val="22"/>
              </w:rPr>
            </w:pPr>
          </w:p>
        </w:tc>
        <w:tc>
          <w:tcPr>
            <w:tcW w:w="10148" w:type="dxa"/>
            <w:gridSpan w:val="7"/>
            <w:tcBorders>
              <w:top w:val="single" w:color="auto" w:sz="4" w:space="0"/>
              <w:left w:val="nil"/>
              <w:bottom w:val="single" w:color="auto" w:sz="4" w:space="0"/>
              <w:right w:val="single" w:color="000000" w:sz="8" w:space="0"/>
            </w:tcBorders>
            <w:shd w:val="clear" w:color="000000" w:fill="EEECE1"/>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2"/>
              </w:rPr>
              <w:t>基本信息</w:t>
            </w:r>
          </w:p>
        </w:tc>
      </w:tr>
      <w:tr>
        <w:tblPrEx>
          <w:tblCellMar>
            <w:top w:w="0" w:type="dxa"/>
            <w:left w:w="108" w:type="dxa"/>
            <w:bottom w:w="0" w:type="dxa"/>
            <w:right w:w="108" w:type="dxa"/>
          </w:tblCellMar>
        </w:tblPrEx>
        <w:trPr>
          <w:trHeight w:val="454" w:hRule="atLeast"/>
          <w:jc w:val="center"/>
        </w:trPr>
        <w:tc>
          <w:tcPr>
            <w:tcW w:w="534" w:type="dxa"/>
            <w:vMerge w:val="continue"/>
            <w:tcBorders>
              <w:left w:val="single" w:color="auto" w:sz="8" w:space="0"/>
              <w:right w:val="single" w:color="auto" w:sz="4" w:space="0"/>
            </w:tcBorders>
            <w:shd w:val="clear" w:color="auto" w:fill="auto"/>
            <w:vAlign w:val="center"/>
          </w:tcPr>
          <w:p>
            <w:pPr>
              <w:widowControl/>
              <w:jc w:val="left"/>
              <w:rPr>
                <w:rFonts w:ascii="仿宋" w:hAnsi="仿宋" w:eastAsia="仿宋" w:cs="宋体"/>
                <w:b/>
                <w:bCs/>
                <w:color w:val="000000"/>
                <w:kern w:val="0"/>
                <w:sz w:val="22"/>
              </w:rPr>
            </w:pPr>
          </w:p>
        </w:tc>
        <w:tc>
          <w:tcPr>
            <w:tcW w:w="226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出生日期</w:t>
            </w:r>
          </w:p>
        </w:tc>
        <w:tc>
          <w:tcPr>
            <w:tcW w:w="2375"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ind w:firstLine="600" w:firstLineChars="300"/>
              <w:jc w:val="center"/>
              <w:rPr>
                <w:rFonts w:ascii="仿宋" w:hAnsi="仿宋" w:eastAsia="仿宋" w:cs="宋体"/>
                <w:b/>
                <w:bCs/>
                <w:color w:val="000000"/>
                <w:kern w:val="0"/>
                <w:sz w:val="20"/>
                <w:szCs w:val="20"/>
              </w:rPr>
            </w:pPr>
            <w:r>
              <w:rPr>
                <w:rFonts w:hint="eastAsia" w:ascii="仿宋" w:hAnsi="仿宋" w:eastAsia="仿宋" w:cs="宋体"/>
                <w:color w:val="000000"/>
                <w:kern w:val="0"/>
                <w:sz w:val="20"/>
                <w:szCs w:val="20"/>
              </w:rPr>
              <w:t>年     月    日</w:t>
            </w:r>
          </w:p>
        </w:tc>
        <w:tc>
          <w:tcPr>
            <w:tcW w:w="10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民族</w:t>
            </w:r>
          </w:p>
        </w:tc>
        <w:tc>
          <w:tcPr>
            <w:tcW w:w="16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 w:val="20"/>
                <w:szCs w:val="20"/>
              </w:rPr>
            </w:pP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性别</w:t>
            </w:r>
          </w:p>
        </w:tc>
        <w:tc>
          <w:tcPr>
            <w:tcW w:w="1733" w:type="dxa"/>
            <w:tcBorders>
              <w:top w:val="single" w:color="auto" w:sz="4" w:space="0"/>
              <w:left w:val="nil"/>
              <w:bottom w:val="single" w:color="auto" w:sz="4" w:space="0"/>
              <w:right w:val="single" w:color="000000" w:sz="8"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□男    □女</w:t>
            </w:r>
          </w:p>
        </w:tc>
      </w:tr>
      <w:tr>
        <w:tblPrEx>
          <w:tblCellMar>
            <w:top w:w="0" w:type="dxa"/>
            <w:left w:w="108" w:type="dxa"/>
            <w:bottom w:w="0" w:type="dxa"/>
            <w:right w:w="108" w:type="dxa"/>
          </w:tblCellMar>
        </w:tblPrEx>
        <w:trPr>
          <w:trHeight w:val="454" w:hRule="atLeast"/>
          <w:jc w:val="center"/>
        </w:trPr>
        <w:tc>
          <w:tcPr>
            <w:tcW w:w="534" w:type="dxa"/>
            <w:vMerge w:val="continue"/>
            <w:tcBorders>
              <w:left w:val="single" w:color="auto" w:sz="8" w:space="0"/>
              <w:right w:val="single" w:color="auto" w:sz="4" w:space="0"/>
            </w:tcBorders>
            <w:shd w:val="clear" w:color="auto" w:fill="auto"/>
            <w:vAlign w:val="center"/>
          </w:tcPr>
          <w:p>
            <w:pPr>
              <w:widowControl/>
              <w:jc w:val="left"/>
              <w:rPr>
                <w:rFonts w:ascii="仿宋" w:hAnsi="仿宋" w:eastAsia="仿宋" w:cs="宋体"/>
                <w:b/>
                <w:bCs/>
                <w:color w:val="000000"/>
                <w:kern w:val="0"/>
                <w:sz w:val="22"/>
              </w:rPr>
            </w:pPr>
          </w:p>
        </w:tc>
        <w:tc>
          <w:tcPr>
            <w:tcW w:w="226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教育程度</w:t>
            </w:r>
          </w:p>
        </w:tc>
        <w:tc>
          <w:tcPr>
            <w:tcW w:w="7883" w:type="dxa"/>
            <w:gridSpan w:val="6"/>
            <w:tcBorders>
              <w:top w:val="single" w:color="auto" w:sz="4" w:space="0"/>
              <w:left w:val="nil"/>
              <w:bottom w:val="single" w:color="auto" w:sz="4" w:space="0"/>
              <w:right w:val="single" w:color="000000" w:sz="8"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□博士    □硕士    □本科    □大专    □高中   □中专   □初中及以下</w:t>
            </w:r>
          </w:p>
        </w:tc>
      </w:tr>
      <w:tr>
        <w:tblPrEx>
          <w:tblCellMar>
            <w:top w:w="0" w:type="dxa"/>
            <w:left w:w="108" w:type="dxa"/>
            <w:bottom w:w="0" w:type="dxa"/>
            <w:right w:w="108" w:type="dxa"/>
          </w:tblCellMar>
        </w:tblPrEx>
        <w:trPr>
          <w:trHeight w:val="546" w:hRule="atLeast"/>
          <w:jc w:val="center"/>
        </w:trPr>
        <w:tc>
          <w:tcPr>
            <w:tcW w:w="534" w:type="dxa"/>
            <w:vMerge w:val="continue"/>
            <w:tcBorders>
              <w:left w:val="single" w:color="auto" w:sz="8" w:space="0"/>
              <w:right w:val="single" w:color="auto" w:sz="4" w:space="0"/>
            </w:tcBorders>
            <w:shd w:val="clear" w:color="auto" w:fill="auto"/>
            <w:vAlign w:val="center"/>
          </w:tcPr>
          <w:p>
            <w:pPr>
              <w:widowControl/>
              <w:jc w:val="left"/>
              <w:rPr>
                <w:rFonts w:ascii="仿宋" w:hAnsi="仿宋" w:eastAsia="仿宋" w:cs="宋体"/>
                <w:b/>
                <w:bCs/>
                <w:color w:val="000000"/>
                <w:kern w:val="0"/>
                <w:sz w:val="22"/>
              </w:rPr>
            </w:pPr>
          </w:p>
        </w:tc>
        <w:tc>
          <w:tcPr>
            <w:tcW w:w="226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职业</w:t>
            </w:r>
          </w:p>
        </w:tc>
        <w:tc>
          <w:tcPr>
            <w:tcW w:w="7883" w:type="dxa"/>
            <w:gridSpan w:val="6"/>
            <w:tcBorders>
              <w:top w:val="single" w:color="auto" w:sz="4" w:space="0"/>
              <w:left w:val="nil"/>
              <w:bottom w:val="single" w:color="auto" w:sz="4" w:space="0"/>
              <w:right w:val="single" w:color="000000" w:sz="8" w:space="0"/>
            </w:tcBorders>
            <w:shd w:val="clear" w:color="auto" w:fill="auto"/>
            <w:noWrap/>
            <w:vAlign w:val="bottom"/>
          </w:tcPr>
          <w:p>
            <w:pPr>
              <w:widowControl/>
              <w:jc w:val="left"/>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符合第</w:t>
            </w:r>
            <w:r>
              <w:rPr>
                <w:rFonts w:hint="eastAsia" w:ascii="仿宋" w:hAnsi="仿宋" w:eastAsia="仿宋" w:cs="宋体"/>
                <w:color w:val="000000"/>
                <w:kern w:val="0"/>
                <w:sz w:val="20"/>
                <w:szCs w:val="20"/>
                <w:u w:val="single"/>
                <w:lang w:val="en-US" w:eastAsia="zh-CN"/>
              </w:rPr>
              <w:t xml:space="preserve">               </w:t>
            </w:r>
            <w:r>
              <w:rPr>
                <w:rFonts w:hint="eastAsia" w:ascii="仿宋" w:hAnsi="仿宋" w:eastAsia="仿宋" w:cs="宋体"/>
                <w:color w:val="000000"/>
                <w:kern w:val="0"/>
                <w:sz w:val="20"/>
                <w:szCs w:val="20"/>
                <w:lang w:val="en-US" w:eastAsia="zh-CN"/>
              </w:rPr>
              <w:t>选项</w:t>
            </w:r>
          </w:p>
        </w:tc>
      </w:tr>
      <w:tr>
        <w:tblPrEx>
          <w:tblCellMar>
            <w:top w:w="0" w:type="dxa"/>
            <w:left w:w="108" w:type="dxa"/>
            <w:bottom w:w="0" w:type="dxa"/>
            <w:right w:w="108" w:type="dxa"/>
          </w:tblCellMar>
        </w:tblPrEx>
        <w:trPr>
          <w:trHeight w:val="4608" w:hRule="atLeast"/>
          <w:jc w:val="center"/>
        </w:trPr>
        <w:tc>
          <w:tcPr>
            <w:tcW w:w="534" w:type="dxa"/>
            <w:vMerge w:val="continue"/>
            <w:tcBorders>
              <w:left w:val="single" w:color="auto" w:sz="8" w:space="0"/>
              <w:right w:val="single" w:color="auto" w:sz="4" w:space="0"/>
            </w:tcBorders>
            <w:shd w:val="clear" w:color="auto" w:fill="auto"/>
            <w:vAlign w:val="center"/>
          </w:tcPr>
          <w:p>
            <w:pPr>
              <w:widowControl/>
              <w:jc w:val="left"/>
              <w:rPr>
                <w:rFonts w:ascii="仿宋" w:hAnsi="仿宋" w:eastAsia="仿宋" w:cs="宋体"/>
                <w:b/>
                <w:bCs/>
                <w:color w:val="000000"/>
                <w:kern w:val="0"/>
                <w:sz w:val="22"/>
              </w:rPr>
            </w:pPr>
          </w:p>
        </w:tc>
        <w:tc>
          <w:tcPr>
            <w:tcW w:w="22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 w:hAnsi="仿宋" w:eastAsia="仿宋" w:cs="宋体"/>
                <w:b/>
                <w:bCs/>
                <w:color w:val="000000"/>
                <w:kern w:val="0"/>
                <w:sz w:val="20"/>
                <w:szCs w:val="20"/>
                <w:lang w:val="en-US" w:eastAsia="zh-CN"/>
              </w:rPr>
            </w:pPr>
            <w:r>
              <w:rPr>
                <w:rFonts w:hint="eastAsia" w:ascii="仿宋" w:hAnsi="仿宋" w:eastAsia="仿宋" w:cs="宋体"/>
                <w:b/>
                <w:bCs/>
                <w:color w:val="000000"/>
                <w:kern w:val="0"/>
                <w:sz w:val="20"/>
                <w:szCs w:val="20"/>
                <w:lang w:val="en-US" w:eastAsia="zh-CN"/>
              </w:rPr>
              <w:t>职业类别选项</w:t>
            </w:r>
          </w:p>
        </w:tc>
        <w:tc>
          <w:tcPr>
            <w:tcW w:w="7883" w:type="dxa"/>
            <w:gridSpan w:val="6"/>
            <w:tcBorders>
              <w:top w:val="single" w:color="auto" w:sz="4"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1、党政机关负责人及管理人员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2、企事业单位负责人及管理人员</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3、民主党派和工商联负责人及管理人员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4、人民团体或群众团体负责人及管理人员</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5、社会组织（社会团体、基金会、社会服务机构、外国商会等）负责人及管理人员</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6、科学研究及教学人员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7、文学艺术、体育专业人员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8、新闻出版、文化专业人员</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9、卫生专业技术人员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10、工程、农业专业人员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11、法律、会计、审计、税务专业人员</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12、证券从业人员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13、经济和金融专业人员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14、宗教人士等特殊职业人员</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15、其他专业技术人员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16、党政机关、企事业单位行政工作人员</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17、民主党派、工商联、人民团体或社会组织等单位工作人员</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18、人民警察、消防、应急救援人员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19、批发与零售服务人员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20、房地产服务人员</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21、旅游、住宿和餐饮服务人员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22、珠宝、黄金等贵金属行业服务人员</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23、文化、体育和娱乐服务人员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24、典当、拍卖行业服务人员</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25、艺术品或文物收藏行业服务人员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26、废品、旧货回收服务人员</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27、交通运输、仓储、邮政业服务人员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28、信息运输、软件和信息技术服务人员</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29、居民、健康服务人员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30、其他社会生产和社会服务人员</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31、农、林、牧、渔业生产及辅助人员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32、生产制造及有关人员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33、军人</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34、国际组织工作人员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35、离退休人员</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36、个体工商户（含淘宝店自营等）</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37、无业</w:t>
            </w:r>
            <w:r>
              <w:rPr>
                <w:rFonts w:hint="eastAsia" w:ascii="仿宋" w:hAnsi="仿宋" w:eastAsia="仿宋" w:cs="宋体"/>
                <w:color w:val="000000"/>
                <w:kern w:val="0"/>
                <w:sz w:val="20"/>
                <w:szCs w:val="20"/>
                <w:lang w:val="en-US" w:eastAsia="zh-CN"/>
              </w:rPr>
              <w:t xml:space="preserve">               </w:t>
            </w:r>
            <w:r>
              <w:rPr>
                <w:rFonts w:hint="eastAsia" w:ascii="仿宋" w:hAnsi="仿宋" w:eastAsia="仿宋" w:cs="宋体"/>
                <w:color w:val="000000"/>
                <w:kern w:val="0"/>
                <w:sz w:val="20"/>
                <w:szCs w:val="20"/>
              </w:rPr>
              <w:t>38、学生</w:t>
            </w:r>
          </w:p>
        </w:tc>
      </w:tr>
      <w:tr>
        <w:tblPrEx>
          <w:tblCellMar>
            <w:top w:w="0" w:type="dxa"/>
            <w:left w:w="108" w:type="dxa"/>
            <w:bottom w:w="0" w:type="dxa"/>
            <w:right w:w="108" w:type="dxa"/>
          </w:tblCellMar>
        </w:tblPrEx>
        <w:trPr>
          <w:trHeight w:val="510" w:hRule="atLeast"/>
          <w:jc w:val="center"/>
        </w:trPr>
        <w:tc>
          <w:tcPr>
            <w:tcW w:w="534" w:type="dxa"/>
            <w:vMerge w:val="continue"/>
            <w:tcBorders>
              <w:left w:val="single" w:color="auto" w:sz="8" w:space="0"/>
              <w:right w:val="single" w:color="auto" w:sz="4" w:space="0"/>
            </w:tcBorders>
            <w:shd w:val="clear" w:color="auto" w:fill="auto"/>
            <w:vAlign w:val="center"/>
          </w:tcPr>
          <w:p>
            <w:pPr>
              <w:widowControl/>
              <w:jc w:val="left"/>
              <w:rPr>
                <w:rFonts w:ascii="仿宋" w:hAnsi="仿宋" w:eastAsia="仿宋" w:cs="宋体"/>
                <w:b/>
                <w:bCs/>
                <w:color w:val="000000"/>
                <w:kern w:val="0"/>
                <w:sz w:val="22"/>
              </w:rPr>
            </w:pPr>
          </w:p>
        </w:tc>
        <w:tc>
          <w:tcPr>
            <w:tcW w:w="10148" w:type="dxa"/>
            <w:gridSpan w:val="7"/>
            <w:tcBorders>
              <w:top w:val="single" w:color="auto" w:sz="4" w:space="0"/>
              <w:left w:val="nil"/>
              <w:bottom w:val="single" w:color="auto" w:sz="4" w:space="0"/>
              <w:right w:val="single" w:color="000000" w:sz="8" w:space="0"/>
            </w:tcBorders>
            <w:shd w:val="clear" w:color="000000" w:fill="EEECE1"/>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2"/>
              </w:rPr>
              <w:t>联系信息</w:t>
            </w:r>
          </w:p>
        </w:tc>
      </w:tr>
      <w:tr>
        <w:tblPrEx>
          <w:tblCellMar>
            <w:top w:w="0" w:type="dxa"/>
            <w:left w:w="108" w:type="dxa"/>
            <w:bottom w:w="0" w:type="dxa"/>
            <w:right w:w="108" w:type="dxa"/>
          </w:tblCellMar>
        </w:tblPrEx>
        <w:trPr>
          <w:trHeight w:val="454" w:hRule="atLeast"/>
          <w:jc w:val="center"/>
        </w:trPr>
        <w:tc>
          <w:tcPr>
            <w:tcW w:w="534" w:type="dxa"/>
            <w:vMerge w:val="continue"/>
            <w:tcBorders>
              <w:left w:val="single" w:color="auto" w:sz="8" w:space="0"/>
              <w:right w:val="single" w:color="auto" w:sz="4" w:space="0"/>
            </w:tcBorders>
            <w:shd w:val="clear" w:color="auto" w:fill="auto"/>
            <w:vAlign w:val="center"/>
          </w:tcPr>
          <w:p>
            <w:pPr>
              <w:widowControl/>
              <w:jc w:val="left"/>
              <w:rPr>
                <w:rFonts w:ascii="仿宋" w:hAnsi="仿宋" w:eastAsia="仿宋" w:cs="宋体"/>
                <w:b/>
                <w:bCs/>
                <w:color w:val="000000"/>
                <w:kern w:val="0"/>
                <w:sz w:val="22"/>
              </w:rPr>
            </w:pPr>
          </w:p>
        </w:tc>
        <w:tc>
          <w:tcPr>
            <w:tcW w:w="22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联系地址（含收件人）</w:t>
            </w:r>
          </w:p>
        </w:tc>
        <w:tc>
          <w:tcPr>
            <w:tcW w:w="505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邮政编码</w:t>
            </w:r>
          </w:p>
        </w:tc>
        <w:tc>
          <w:tcPr>
            <w:tcW w:w="1733" w:type="dxa"/>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仿宋" w:hAnsi="仿宋" w:eastAsia="仿宋" w:cs="宋体"/>
                <w:b/>
                <w:bCs/>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534" w:type="dxa"/>
            <w:vMerge w:val="continue"/>
            <w:tcBorders>
              <w:left w:val="single" w:color="auto" w:sz="8" w:space="0"/>
              <w:right w:val="single" w:color="auto" w:sz="4" w:space="0"/>
            </w:tcBorders>
            <w:shd w:val="clear" w:color="auto" w:fill="auto"/>
            <w:vAlign w:val="center"/>
          </w:tcPr>
          <w:p>
            <w:pPr>
              <w:widowControl/>
              <w:jc w:val="left"/>
              <w:rPr>
                <w:rFonts w:ascii="仿宋" w:hAnsi="仿宋" w:eastAsia="仿宋" w:cs="宋体"/>
                <w:b/>
                <w:bCs/>
                <w:color w:val="000000"/>
                <w:kern w:val="0"/>
                <w:sz w:val="22"/>
              </w:rPr>
            </w:pPr>
          </w:p>
        </w:tc>
        <w:tc>
          <w:tcPr>
            <w:tcW w:w="226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电子邮箱</w:t>
            </w:r>
          </w:p>
        </w:tc>
        <w:tc>
          <w:tcPr>
            <w:tcW w:w="23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移动电话</w:t>
            </w:r>
          </w:p>
        </w:tc>
        <w:tc>
          <w:tcPr>
            <w:tcW w:w="16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固定电话</w:t>
            </w:r>
          </w:p>
        </w:tc>
        <w:tc>
          <w:tcPr>
            <w:tcW w:w="1733" w:type="dxa"/>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仿宋" w:hAnsi="仿宋" w:eastAsia="仿宋" w:cs="宋体"/>
                <w:b/>
                <w:bCs/>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534" w:type="dxa"/>
            <w:vMerge w:val="continue"/>
            <w:tcBorders>
              <w:left w:val="single" w:color="auto" w:sz="8" w:space="0"/>
              <w:right w:val="single" w:color="auto" w:sz="4" w:space="0"/>
            </w:tcBorders>
            <w:shd w:val="clear" w:color="auto" w:fill="auto"/>
            <w:vAlign w:val="center"/>
          </w:tcPr>
          <w:p>
            <w:pPr>
              <w:widowControl/>
              <w:jc w:val="left"/>
              <w:rPr>
                <w:rFonts w:ascii="仿宋" w:hAnsi="仿宋" w:eastAsia="仿宋" w:cs="宋体"/>
                <w:b/>
                <w:bCs/>
                <w:color w:val="000000"/>
                <w:kern w:val="0"/>
                <w:sz w:val="22"/>
              </w:rPr>
            </w:pPr>
          </w:p>
        </w:tc>
        <w:tc>
          <w:tcPr>
            <w:tcW w:w="226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微信</w:t>
            </w:r>
          </w:p>
        </w:tc>
        <w:tc>
          <w:tcPr>
            <w:tcW w:w="23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0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QQ</w:t>
            </w:r>
          </w:p>
        </w:tc>
        <w:tc>
          <w:tcPr>
            <w:tcW w:w="16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其他</w:t>
            </w:r>
          </w:p>
        </w:tc>
        <w:tc>
          <w:tcPr>
            <w:tcW w:w="1733" w:type="dxa"/>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仿宋" w:hAnsi="仿宋" w:eastAsia="仿宋" w:cs="宋体"/>
                <w:b/>
                <w:bCs/>
                <w:color w:val="000000"/>
                <w:kern w:val="0"/>
                <w:sz w:val="20"/>
                <w:szCs w:val="20"/>
              </w:rPr>
            </w:pPr>
          </w:p>
        </w:tc>
      </w:tr>
      <w:tr>
        <w:tblPrEx>
          <w:tblCellMar>
            <w:top w:w="0" w:type="dxa"/>
            <w:left w:w="108" w:type="dxa"/>
            <w:bottom w:w="0" w:type="dxa"/>
            <w:right w:w="108" w:type="dxa"/>
          </w:tblCellMar>
        </w:tblPrEx>
        <w:trPr>
          <w:trHeight w:val="510" w:hRule="atLeast"/>
          <w:jc w:val="center"/>
        </w:trPr>
        <w:tc>
          <w:tcPr>
            <w:tcW w:w="534" w:type="dxa"/>
            <w:vMerge w:val="continue"/>
            <w:tcBorders>
              <w:left w:val="single" w:color="auto" w:sz="8" w:space="0"/>
              <w:right w:val="single" w:color="auto" w:sz="4" w:space="0"/>
            </w:tcBorders>
            <w:shd w:val="clear" w:color="auto" w:fill="auto"/>
            <w:vAlign w:val="center"/>
          </w:tcPr>
          <w:p>
            <w:pPr>
              <w:widowControl/>
              <w:jc w:val="left"/>
              <w:rPr>
                <w:rFonts w:ascii="仿宋" w:hAnsi="仿宋" w:eastAsia="仿宋" w:cs="宋体"/>
                <w:b/>
                <w:bCs/>
                <w:color w:val="000000"/>
                <w:kern w:val="0"/>
                <w:sz w:val="22"/>
              </w:rPr>
            </w:pPr>
          </w:p>
        </w:tc>
        <w:tc>
          <w:tcPr>
            <w:tcW w:w="10148" w:type="dxa"/>
            <w:gridSpan w:val="7"/>
            <w:tcBorders>
              <w:top w:val="single" w:color="auto" w:sz="4" w:space="0"/>
              <w:left w:val="nil"/>
              <w:bottom w:val="single" w:color="auto" w:sz="4" w:space="0"/>
              <w:right w:val="single" w:color="000000" w:sz="8" w:space="0"/>
            </w:tcBorders>
            <w:shd w:val="clear" w:color="000000" w:fill="EEECE1"/>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2"/>
              </w:rPr>
              <w:t>开户方式</w:t>
            </w:r>
          </w:p>
        </w:tc>
      </w:tr>
      <w:tr>
        <w:tblPrEx>
          <w:tblCellMar>
            <w:top w:w="0" w:type="dxa"/>
            <w:left w:w="108" w:type="dxa"/>
            <w:bottom w:w="0" w:type="dxa"/>
            <w:right w:w="108" w:type="dxa"/>
          </w:tblCellMar>
        </w:tblPrEx>
        <w:trPr>
          <w:trHeight w:val="454" w:hRule="atLeast"/>
          <w:jc w:val="center"/>
        </w:trPr>
        <w:tc>
          <w:tcPr>
            <w:tcW w:w="534" w:type="dxa"/>
            <w:vMerge w:val="continue"/>
            <w:tcBorders>
              <w:left w:val="single" w:color="auto" w:sz="8" w:space="0"/>
              <w:right w:val="single" w:color="auto" w:sz="4" w:space="0"/>
            </w:tcBorders>
            <w:shd w:val="clear" w:color="auto" w:fill="auto"/>
            <w:vAlign w:val="center"/>
          </w:tcPr>
          <w:p>
            <w:pPr>
              <w:widowControl/>
              <w:jc w:val="left"/>
              <w:rPr>
                <w:rFonts w:ascii="仿宋" w:hAnsi="仿宋" w:eastAsia="仿宋" w:cs="宋体"/>
                <w:b/>
                <w:bCs/>
                <w:color w:val="000000"/>
                <w:kern w:val="0"/>
                <w:sz w:val="22"/>
              </w:rPr>
            </w:pPr>
          </w:p>
        </w:tc>
        <w:tc>
          <w:tcPr>
            <w:tcW w:w="10148" w:type="dxa"/>
            <w:gridSpan w:val="7"/>
            <w:tcBorders>
              <w:top w:val="single" w:color="auto" w:sz="4" w:space="0"/>
              <w:left w:val="nil"/>
              <w:bottom w:val="single" w:color="auto" w:sz="4" w:space="0"/>
              <w:right w:val="single" w:color="000000" w:sz="8" w:space="0"/>
            </w:tcBorders>
            <w:shd w:val="clear" w:color="000000" w:fill="FFFFFF"/>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xml:space="preserve">□临柜开户       </w:t>
            </w:r>
            <w:r>
              <w:rPr>
                <w:rFonts w:ascii="仿宋" w:hAnsi="仿宋" w:eastAsia="仿宋" w:cs="宋体"/>
                <w:b/>
                <w:bCs/>
                <w:color w:val="000000"/>
                <w:kern w:val="0"/>
                <w:sz w:val="20"/>
                <w:szCs w:val="20"/>
              </w:rPr>
              <w:t xml:space="preserve"> </w:t>
            </w:r>
            <w:r>
              <w:rPr>
                <w:rFonts w:hint="eastAsia" w:ascii="仿宋" w:hAnsi="仿宋" w:eastAsia="仿宋" w:cs="宋体"/>
                <w:b/>
                <w:bCs/>
                <w:color w:val="000000"/>
                <w:kern w:val="0"/>
                <w:sz w:val="20"/>
                <w:szCs w:val="20"/>
              </w:rPr>
              <w:t xml:space="preserve">□见证开户     </w:t>
            </w:r>
            <w:r>
              <w:rPr>
                <w:rFonts w:ascii="仿宋" w:hAnsi="仿宋" w:eastAsia="仿宋" w:cs="宋体"/>
                <w:b/>
                <w:bCs/>
                <w:color w:val="000000"/>
                <w:kern w:val="0"/>
                <w:sz w:val="20"/>
                <w:szCs w:val="20"/>
              </w:rPr>
              <w:t xml:space="preserve"> </w:t>
            </w:r>
            <w:r>
              <w:rPr>
                <w:rFonts w:hint="eastAsia" w:ascii="仿宋" w:hAnsi="仿宋" w:eastAsia="仿宋" w:cs="宋体"/>
                <w:b/>
                <w:bCs/>
                <w:color w:val="000000"/>
                <w:kern w:val="0"/>
                <w:sz w:val="20"/>
                <w:szCs w:val="20"/>
              </w:rPr>
              <w:t xml:space="preserve"> □网上开户</w:t>
            </w:r>
          </w:p>
        </w:tc>
      </w:tr>
      <w:tr>
        <w:tblPrEx>
          <w:tblCellMar>
            <w:top w:w="0" w:type="dxa"/>
            <w:left w:w="108" w:type="dxa"/>
            <w:bottom w:w="0" w:type="dxa"/>
            <w:right w:w="108" w:type="dxa"/>
          </w:tblCellMar>
        </w:tblPrEx>
        <w:trPr>
          <w:trHeight w:val="510" w:hRule="atLeast"/>
          <w:jc w:val="center"/>
        </w:trPr>
        <w:tc>
          <w:tcPr>
            <w:tcW w:w="534" w:type="dxa"/>
            <w:vMerge w:val="continue"/>
            <w:tcBorders>
              <w:left w:val="single" w:color="auto" w:sz="8" w:space="0"/>
              <w:right w:val="single" w:color="auto" w:sz="4" w:space="0"/>
            </w:tcBorders>
            <w:shd w:val="clear" w:color="auto" w:fill="auto"/>
            <w:vAlign w:val="center"/>
          </w:tcPr>
          <w:p>
            <w:pPr>
              <w:widowControl/>
              <w:jc w:val="left"/>
              <w:rPr>
                <w:rFonts w:ascii="仿宋" w:hAnsi="仿宋" w:eastAsia="仿宋" w:cs="宋体"/>
                <w:b/>
                <w:bCs/>
                <w:color w:val="000000"/>
                <w:kern w:val="0"/>
                <w:sz w:val="22"/>
              </w:rPr>
            </w:pPr>
          </w:p>
        </w:tc>
        <w:tc>
          <w:tcPr>
            <w:tcW w:w="10148" w:type="dxa"/>
            <w:gridSpan w:val="7"/>
            <w:tcBorders>
              <w:top w:val="single" w:color="auto" w:sz="4" w:space="0"/>
              <w:left w:val="nil"/>
              <w:bottom w:val="single" w:color="auto" w:sz="4" w:space="0"/>
              <w:right w:val="single" w:color="000000" w:sz="8" w:space="0"/>
            </w:tcBorders>
            <w:shd w:val="clear" w:color="000000" w:fill="EEECE1"/>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2"/>
              </w:rPr>
              <w:t>自然人代办人信息</w:t>
            </w:r>
          </w:p>
        </w:tc>
      </w:tr>
      <w:tr>
        <w:tblPrEx>
          <w:tblCellMar>
            <w:top w:w="0" w:type="dxa"/>
            <w:left w:w="108" w:type="dxa"/>
            <w:bottom w:w="0" w:type="dxa"/>
            <w:right w:w="108" w:type="dxa"/>
          </w:tblCellMar>
        </w:tblPrEx>
        <w:trPr>
          <w:trHeight w:val="454" w:hRule="atLeast"/>
          <w:jc w:val="center"/>
        </w:trPr>
        <w:tc>
          <w:tcPr>
            <w:tcW w:w="534" w:type="dxa"/>
            <w:vMerge w:val="continue"/>
            <w:tcBorders>
              <w:left w:val="single" w:color="auto" w:sz="8" w:space="0"/>
              <w:right w:val="single" w:color="auto" w:sz="4" w:space="0"/>
            </w:tcBorders>
            <w:shd w:val="clear" w:color="auto" w:fill="auto"/>
            <w:vAlign w:val="center"/>
          </w:tcPr>
          <w:p>
            <w:pPr>
              <w:widowControl/>
              <w:jc w:val="left"/>
              <w:rPr>
                <w:rFonts w:ascii="仿宋" w:hAnsi="仿宋" w:eastAsia="仿宋" w:cs="宋体"/>
                <w:b/>
                <w:bCs/>
                <w:color w:val="000000"/>
                <w:kern w:val="0"/>
                <w:sz w:val="22"/>
              </w:rPr>
            </w:pPr>
          </w:p>
        </w:tc>
        <w:tc>
          <w:tcPr>
            <w:tcW w:w="22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姓名</w:t>
            </w:r>
          </w:p>
        </w:tc>
        <w:tc>
          <w:tcPr>
            <w:tcW w:w="15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8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b/>
                <w:bCs/>
                <w:color w:val="000000"/>
                <w:kern w:val="0"/>
                <w:sz w:val="20"/>
                <w:szCs w:val="20"/>
              </w:rPr>
              <w:t>身份证明文件类型</w:t>
            </w:r>
          </w:p>
        </w:tc>
        <w:tc>
          <w:tcPr>
            <w:tcW w:w="4433" w:type="dxa"/>
            <w:gridSpan w:val="3"/>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□居民身份证       □其他</w:t>
            </w:r>
          </w:p>
        </w:tc>
      </w:tr>
      <w:tr>
        <w:tblPrEx>
          <w:tblCellMar>
            <w:top w:w="0" w:type="dxa"/>
            <w:left w:w="108" w:type="dxa"/>
            <w:bottom w:w="0" w:type="dxa"/>
            <w:right w:w="108" w:type="dxa"/>
          </w:tblCellMar>
        </w:tblPrEx>
        <w:trPr>
          <w:trHeight w:val="454" w:hRule="atLeast"/>
          <w:jc w:val="center"/>
        </w:trPr>
        <w:tc>
          <w:tcPr>
            <w:tcW w:w="534" w:type="dxa"/>
            <w:vMerge w:val="continue"/>
            <w:tcBorders>
              <w:left w:val="single" w:color="auto" w:sz="8" w:space="0"/>
              <w:right w:val="single" w:color="auto" w:sz="4" w:space="0"/>
            </w:tcBorders>
            <w:shd w:val="clear" w:color="auto" w:fill="auto"/>
            <w:vAlign w:val="center"/>
          </w:tcPr>
          <w:p>
            <w:pPr>
              <w:widowControl/>
              <w:jc w:val="left"/>
              <w:rPr>
                <w:rFonts w:ascii="仿宋" w:hAnsi="仿宋" w:eastAsia="仿宋" w:cs="宋体"/>
                <w:b/>
                <w:bCs/>
                <w:color w:val="000000"/>
                <w:kern w:val="0"/>
                <w:sz w:val="22"/>
              </w:rPr>
            </w:pPr>
          </w:p>
        </w:tc>
        <w:tc>
          <w:tcPr>
            <w:tcW w:w="226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联系电话</w:t>
            </w:r>
          </w:p>
        </w:tc>
        <w:tc>
          <w:tcPr>
            <w:tcW w:w="15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p>
        </w:tc>
        <w:tc>
          <w:tcPr>
            <w:tcW w:w="18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b/>
                <w:bCs/>
                <w:color w:val="000000"/>
                <w:kern w:val="0"/>
                <w:sz w:val="20"/>
                <w:szCs w:val="20"/>
              </w:rPr>
              <w:t>身份证明文件号码</w:t>
            </w:r>
          </w:p>
        </w:tc>
        <w:tc>
          <w:tcPr>
            <w:tcW w:w="4433" w:type="dxa"/>
            <w:gridSpan w:val="3"/>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534" w:type="dxa"/>
            <w:vMerge w:val="continue"/>
            <w:tcBorders>
              <w:left w:val="single" w:color="auto" w:sz="8" w:space="0"/>
              <w:right w:val="single" w:color="auto" w:sz="4" w:space="0"/>
            </w:tcBorders>
            <w:shd w:val="clear" w:color="auto" w:fill="auto"/>
            <w:vAlign w:val="center"/>
          </w:tcPr>
          <w:p>
            <w:pPr>
              <w:widowControl/>
              <w:jc w:val="left"/>
              <w:rPr>
                <w:rFonts w:ascii="仿宋" w:hAnsi="仿宋" w:eastAsia="仿宋" w:cs="宋体"/>
                <w:b/>
                <w:bCs/>
                <w:color w:val="000000"/>
                <w:kern w:val="0"/>
                <w:sz w:val="22"/>
              </w:rPr>
            </w:pPr>
          </w:p>
        </w:tc>
        <w:tc>
          <w:tcPr>
            <w:tcW w:w="22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备注</w:t>
            </w:r>
          </w:p>
        </w:tc>
        <w:tc>
          <w:tcPr>
            <w:tcW w:w="7883" w:type="dxa"/>
            <w:gridSpan w:val="6"/>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5557" w:hRule="atLeast"/>
          <w:jc w:val="center"/>
        </w:trPr>
        <w:tc>
          <w:tcPr>
            <w:tcW w:w="10682" w:type="dxa"/>
            <w:gridSpan w:val="8"/>
            <w:tcBorders>
              <w:top w:val="single" w:color="auto" w:sz="4" w:space="0"/>
              <w:left w:val="single" w:color="auto" w:sz="8" w:space="0"/>
              <w:bottom w:val="single" w:color="auto" w:sz="4" w:space="0"/>
              <w:right w:val="single" w:color="000000" w:sz="8" w:space="0"/>
            </w:tcBorders>
            <w:shd w:val="clear" w:color="auto" w:fill="auto"/>
            <w:vAlign w:val="center"/>
          </w:tcPr>
          <w:p>
            <w:pPr>
              <w:spacing w:line="400" w:lineRule="exact"/>
              <w:jc w:val="center"/>
              <w:rPr>
                <w:rFonts w:ascii="仿宋" w:hAnsi="仿宋" w:eastAsia="仿宋" w:cs="宋体"/>
                <w:color w:val="000000"/>
                <w:kern w:val="0"/>
                <w:sz w:val="22"/>
              </w:rPr>
            </w:pPr>
            <w:r>
              <w:rPr>
                <w:rFonts w:hint="eastAsia" w:ascii="仿宋" w:hAnsi="仿宋" w:eastAsia="仿宋" w:cs="宋体"/>
                <w:color w:val="000000"/>
                <w:kern w:val="0"/>
                <w:sz w:val="22"/>
              </w:rPr>
              <w:t>投资者开户承诺</w:t>
            </w:r>
          </w:p>
          <w:p>
            <w:pPr>
              <w:spacing w:line="400" w:lineRule="exact"/>
              <w:jc w:val="left"/>
              <w:rPr>
                <w:rFonts w:ascii="仿宋" w:hAnsi="仿宋" w:eastAsia="仿宋" w:cs="宋体"/>
                <w:color w:val="000000"/>
                <w:kern w:val="0"/>
                <w:sz w:val="22"/>
              </w:rPr>
            </w:pPr>
            <w:r>
              <w:rPr>
                <w:rFonts w:hint="eastAsia" w:ascii="仿宋" w:hAnsi="仿宋" w:eastAsia="仿宋" w:cs="宋体"/>
                <w:color w:val="000000"/>
                <w:kern w:val="0"/>
                <w:sz w:val="22"/>
              </w:rPr>
              <w:t>天府（四川）联合股权交易中心股份有限公司：</w:t>
            </w:r>
          </w:p>
          <w:p>
            <w:pPr>
              <w:spacing w:line="400" w:lineRule="exact"/>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本人现就申请在贵中心开立投资者账户承诺如下：</w:t>
            </w:r>
          </w:p>
          <w:p>
            <w:pPr>
              <w:spacing w:line="400" w:lineRule="exact"/>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一</w:t>
            </w:r>
            <w:r>
              <w:rPr>
                <w:rFonts w:ascii="仿宋" w:hAnsi="仿宋" w:eastAsia="仿宋" w:cs="宋体"/>
                <w:color w:val="000000"/>
                <w:kern w:val="0"/>
                <w:sz w:val="22"/>
              </w:rPr>
              <w:t>、本</w:t>
            </w:r>
            <w:r>
              <w:rPr>
                <w:rFonts w:hint="eastAsia" w:ascii="仿宋" w:hAnsi="仿宋" w:eastAsia="仿宋" w:cs="宋体"/>
                <w:color w:val="000000"/>
                <w:kern w:val="0"/>
                <w:sz w:val="22"/>
              </w:rPr>
              <w:t>人</w:t>
            </w:r>
            <w:r>
              <w:rPr>
                <w:rFonts w:ascii="仿宋" w:hAnsi="仿宋" w:eastAsia="仿宋" w:cs="宋体"/>
                <w:color w:val="000000"/>
                <w:kern w:val="0"/>
                <w:sz w:val="22"/>
              </w:rPr>
              <w:t>承诺</w:t>
            </w:r>
            <w:r>
              <w:rPr>
                <w:rFonts w:hint="eastAsia" w:ascii="仿宋" w:hAnsi="仿宋" w:eastAsia="仿宋" w:cs="宋体"/>
                <w:color w:val="000000"/>
                <w:kern w:val="0"/>
                <w:sz w:val="22"/>
              </w:rPr>
              <w:t>该开户</w:t>
            </w:r>
            <w:r>
              <w:rPr>
                <w:rFonts w:ascii="仿宋" w:hAnsi="仿宋" w:eastAsia="仿宋" w:cs="宋体"/>
                <w:color w:val="000000"/>
                <w:kern w:val="0"/>
                <w:sz w:val="22"/>
              </w:rPr>
              <w:t>申请</w:t>
            </w:r>
            <w:r>
              <w:rPr>
                <w:rFonts w:hint="eastAsia" w:ascii="仿宋" w:hAnsi="仿宋" w:eastAsia="仿宋" w:cs="宋体"/>
                <w:color w:val="000000"/>
                <w:kern w:val="0"/>
                <w:sz w:val="22"/>
              </w:rPr>
              <w:t>表及提交文件资料内容</w:t>
            </w:r>
            <w:r>
              <w:rPr>
                <w:rFonts w:ascii="仿宋" w:hAnsi="仿宋" w:eastAsia="仿宋" w:cs="宋体"/>
                <w:color w:val="000000"/>
                <w:kern w:val="0"/>
                <w:sz w:val="22"/>
              </w:rPr>
              <w:t>真实、准确、完整</w:t>
            </w:r>
            <w:r>
              <w:rPr>
                <w:rFonts w:hint="eastAsia" w:ascii="仿宋" w:hAnsi="仿宋" w:eastAsia="仿宋" w:cs="宋体"/>
                <w:color w:val="000000"/>
                <w:kern w:val="0"/>
                <w:sz w:val="22"/>
              </w:rPr>
              <w:t>。</w:t>
            </w:r>
          </w:p>
          <w:p>
            <w:pPr>
              <w:spacing w:line="400" w:lineRule="exact"/>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二</w:t>
            </w:r>
            <w:r>
              <w:rPr>
                <w:rFonts w:ascii="仿宋" w:hAnsi="仿宋" w:eastAsia="仿宋" w:cs="宋体"/>
                <w:color w:val="000000"/>
                <w:kern w:val="0"/>
                <w:sz w:val="22"/>
              </w:rPr>
              <w:t>、本</w:t>
            </w:r>
            <w:r>
              <w:rPr>
                <w:rFonts w:hint="eastAsia" w:ascii="仿宋" w:hAnsi="仿宋" w:eastAsia="仿宋" w:cs="宋体"/>
                <w:color w:val="000000"/>
                <w:kern w:val="0"/>
                <w:sz w:val="22"/>
              </w:rPr>
              <w:t>人</w:t>
            </w:r>
            <w:r>
              <w:rPr>
                <w:rFonts w:ascii="仿宋" w:hAnsi="仿宋" w:eastAsia="仿宋" w:cs="宋体"/>
                <w:color w:val="000000"/>
                <w:kern w:val="0"/>
                <w:sz w:val="22"/>
              </w:rPr>
              <w:t>承诺不出借</w:t>
            </w:r>
            <w:r>
              <w:rPr>
                <w:rFonts w:hint="eastAsia" w:ascii="仿宋" w:hAnsi="仿宋" w:eastAsia="仿宋" w:cs="宋体"/>
                <w:color w:val="000000"/>
                <w:kern w:val="0"/>
                <w:sz w:val="22"/>
              </w:rPr>
              <w:t>投资者</w:t>
            </w:r>
            <w:r>
              <w:rPr>
                <w:rFonts w:ascii="仿宋" w:hAnsi="仿宋" w:eastAsia="仿宋" w:cs="宋体"/>
                <w:color w:val="000000"/>
                <w:kern w:val="0"/>
                <w:sz w:val="22"/>
              </w:rPr>
              <w:t>账户给他人使用，不通过</w:t>
            </w:r>
            <w:r>
              <w:rPr>
                <w:rFonts w:hint="eastAsia" w:ascii="仿宋" w:hAnsi="仿宋" w:eastAsia="仿宋" w:cs="宋体"/>
                <w:color w:val="000000"/>
                <w:kern w:val="0"/>
                <w:sz w:val="22"/>
              </w:rPr>
              <w:t>投资者</w:t>
            </w:r>
            <w:r>
              <w:rPr>
                <w:rFonts w:ascii="仿宋" w:hAnsi="仿宋" w:eastAsia="仿宋" w:cs="宋体"/>
                <w:color w:val="000000"/>
                <w:kern w:val="0"/>
                <w:sz w:val="22"/>
              </w:rPr>
              <w:t>账户违规进行交易。</w:t>
            </w:r>
          </w:p>
          <w:p>
            <w:pPr>
              <w:spacing w:line="400" w:lineRule="exact"/>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三</w:t>
            </w:r>
            <w:r>
              <w:rPr>
                <w:rFonts w:ascii="仿宋" w:hAnsi="仿宋" w:eastAsia="仿宋" w:cs="宋体"/>
                <w:color w:val="000000"/>
                <w:kern w:val="0"/>
                <w:sz w:val="22"/>
              </w:rPr>
              <w:t>、本</w:t>
            </w:r>
            <w:r>
              <w:rPr>
                <w:rFonts w:hint="eastAsia" w:ascii="仿宋" w:hAnsi="仿宋" w:eastAsia="仿宋" w:cs="宋体"/>
                <w:color w:val="000000"/>
                <w:kern w:val="0"/>
                <w:sz w:val="22"/>
              </w:rPr>
              <w:t>人</w:t>
            </w:r>
            <w:r>
              <w:rPr>
                <w:rFonts w:ascii="仿宋" w:hAnsi="仿宋" w:eastAsia="仿宋" w:cs="宋体"/>
                <w:color w:val="000000"/>
                <w:kern w:val="0"/>
                <w:sz w:val="22"/>
              </w:rPr>
              <w:t>知晓、认可并遵守天府股交中心投资者账户管理规则。</w:t>
            </w:r>
          </w:p>
          <w:p>
            <w:pPr>
              <w:spacing w:line="400" w:lineRule="exact"/>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如</w:t>
            </w:r>
            <w:r>
              <w:rPr>
                <w:rFonts w:ascii="仿宋" w:hAnsi="仿宋" w:eastAsia="仿宋" w:cs="宋体"/>
                <w:color w:val="000000"/>
                <w:kern w:val="0"/>
                <w:sz w:val="22"/>
              </w:rPr>
              <w:t>违反上述承诺</w:t>
            </w:r>
            <w:r>
              <w:rPr>
                <w:rFonts w:hint="eastAsia" w:ascii="仿宋" w:hAnsi="仿宋" w:eastAsia="仿宋" w:cs="宋体"/>
                <w:color w:val="000000"/>
                <w:kern w:val="0"/>
                <w:sz w:val="22"/>
              </w:rPr>
              <w:t>导致</w:t>
            </w:r>
            <w:r>
              <w:rPr>
                <w:rFonts w:ascii="仿宋" w:hAnsi="仿宋" w:eastAsia="仿宋" w:cs="宋体"/>
                <w:color w:val="000000"/>
                <w:kern w:val="0"/>
                <w:sz w:val="22"/>
              </w:rPr>
              <w:t>的相应经济损失和</w:t>
            </w:r>
            <w:r>
              <w:rPr>
                <w:rFonts w:hint="eastAsia" w:ascii="仿宋" w:hAnsi="仿宋" w:eastAsia="仿宋" w:cs="宋体"/>
                <w:color w:val="000000"/>
                <w:kern w:val="0"/>
                <w:sz w:val="22"/>
              </w:rPr>
              <w:t>一切</w:t>
            </w:r>
            <w:r>
              <w:rPr>
                <w:rFonts w:ascii="仿宋" w:hAnsi="仿宋" w:eastAsia="仿宋" w:cs="宋体"/>
                <w:color w:val="000000"/>
                <w:kern w:val="0"/>
                <w:sz w:val="22"/>
              </w:rPr>
              <w:t>法律责任由本</w:t>
            </w:r>
            <w:r>
              <w:rPr>
                <w:rFonts w:hint="eastAsia" w:ascii="仿宋" w:hAnsi="仿宋" w:eastAsia="仿宋" w:cs="宋体"/>
                <w:color w:val="000000"/>
                <w:kern w:val="0"/>
                <w:sz w:val="22"/>
              </w:rPr>
              <w:t>人自行</w:t>
            </w:r>
            <w:r>
              <w:rPr>
                <w:rFonts w:ascii="仿宋" w:hAnsi="仿宋" w:eastAsia="仿宋" w:cs="宋体"/>
                <w:color w:val="000000"/>
                <w:kern w:val="0"/>
                <w:sz w:val="22"/>
              </w:rPr>
              <w:t>承担。</w:t>
            </w:r>
          </w:p>
          <w:p>
            <w:pPr>
              <w:widowControl/>
              <w:ind w:firstLine="450"/>
              <w:jc w:val="left"/>
              <w:rPr>
                <w:rFonts w:ascii="仿宋" w:hAnsi="仿宋" w:eastAsia="仿宋" w:cs="宋体"/>
                <w:color w:val="000000"/>
                <w:kern w:val="0"/>
                <w:sz w:val="22"/>
              </w:rPr>
            </w:pPr>
          </w:p>
          <w:p>
            <w:pPr>
              <w:widowControl/>
              <w:ind w:firstLine="450"/>
              <w:jc w:val="left"/>
              <w:rPr>
                <w:rFonts w:ascii="仿宋" w:hAnsi="仿宋" w:eastAsia="仿宋" w:cs="宋体"/>
                <w:color w:val="000000"/>
                <w:kern w:val="0"/>
                <w:sz w:val="22"/>
              </w:rPr>
            </w:pPr>
          </w:p>
          <w:p>
            <w:pPr>
              <w:widowControl/>
              <w:ind w:firstLine="450"/>
              <w:jc w:val="left"/>
              <w:rPr>
                <w:rFonts w:ascii="仿宋" w:hAnsi="仿宋" w:eastAsia="仿宋" w:cs="宋体"/>
                <w:color w:val="000000"/>
                <w:kern w:val="0"/>
                <w:sz w:val="22"/>
              </w:rPr>
            </w:pPr>
          </w:p>
          <w:p>
            <w:pPr>
              <w:widowControl/>
              <w:ind w:firstLine="450"/>
              <w:jc w:val="left"/>
              <w:rPr>
                <w:rFonts w:ascii="仿宋" w:hAnsi="仿宋" w:eastAsia="仿宋" w:cs="宋体"/>
                <w:color w:val="000000"/>
                <w:kern w:val="0"/>
                <w:sz w:val="22"/>
              </w:rPr>
            </w:pPr>
            <w:r>
              <w:rPr>
                <w:rFonts w:hint="eastAsia" w:ascii="仿宋" w:hAnsi="仿宋" w:eastAsia="仿宋" w:cs="宋体"/>
                <w:color w:val="000000"/>
                <w:kern w:val="0"/>
                <w:sz w:val="22"/>
              </w:rPr>
              <w:t>投资者确认签字（按手印）：</w:t>
            </w:r>
          </w:p>
          <w:p>
            <w:pPr>
              <w:widowControl/>
              <w:ind w:firstLine="450"/>
              <w:jc w:val="left"/>
              <w:rPr>
                <w:rFonts w:ascii="仿宋" w:hAnsi="仿宋" w:eastAsia="仿宋" w:cs="宋体"/>
                <w:color w:val="000000"/>
                <w:kern w:val="0"/>
                <w:sz w:val="22"/>
              </w:rPr>
            </w:pPr>
          </w:p>
          <w:p>
            <w:pPr>
              <w:widowControl/>
              <w:ind w:firstLine="450"/>
              <w:jc w:val="left"/>
              <w:rPr>
                <w:rFonts w:hint="eastAsia" w:ascii="仿宋" w:hAnsi="仿宋" w:eastAsia="仿宋" w:cs="宋体"/>
                <w:color w:val="000000"/>
                <w:kern w:val="0"/>
                <w:sz w:val="22"/>
              </w:rPr>
            </w:pP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 xml:space="preserve">    代办人确认签字（按手印）：                           签署日期：    年     月     日</w:t>
            </w:r>
          </w:p>
          <w:p>
            <w:pPr>
              <w:widowControl/>
              <w:ind w:firstLine="450"/>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510" w:hRule="atLeast"/>
          <w:jc w:val="center"/>
        </w:trPr>
        <w:tc>
          <w:tcPr>
            <w:tcW w:w="10682" w:type="dxa"/>
            <w:gridSpan w:val="8"/>
            <w:tcBorders>
              <w:top w:val="single" w:color="auto" w:sz="4" w:space="0"/>
              <w:left w:val="single" w:color="auto" w:sz="8" w:space="0"/>
              <w:bottom w:val="single" w:color="auto" w:sz="4" w:space="0"/>
              <w:right w:val="single" w:color="000000" w:sz="8" w:space="0"/>
            </w:tcBorders>
            <w:shd w:val="clear" w:color="000000" w:fill="EEECE1"/>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2"/>
              </w:rPr>
              <w:t>中心/开户代理机构填写</w:t>
            </w:r>
          </w:p>
        </w:tc>
      </w:tr>
      <w:tr>
        <w:tblPrEx>
          <w:tblCellMar>
            <w:top w:w="0" w:type="dxa"/>
            <w:left w:w="108" w:type="dxa"/>
            <w:bottom w:w="0" w:type="dxa"/>
            <w:right w:w="108" w:type="dxa"/>
          </w:tblCellMar>
        </w:tblPrEx>
        <w:trPr>
          <w:trHeight w:val="454" w:hRule="atLeast"/>
          <w:jc w:val="center"/>
        </w:trPr>
        <w:tc>
          <w:tcPr>
            <w:tcW w:w="2799"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是否完成实名认证</w:t>
            </w:r>
          </w:p>
        </w:tc>
        <w:tc>
          <w:tcPr>
            <w:tcW w:w="7883" w:type="dxa"/>
            <w:gridSpan w:val="6"/>
            <w:tcBorders>
              <w:top w:val="single" w:color="auto" w:sz="4" w:space="0"/>
              <w:left w:val="nil"/>
              <w:bottom w:val="single" w:color="auto" w:sz="4" w:space="0"/>
              <w:right w:val="single" w:color="000000" w:sz="8"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□是                   □否           </w:t>
            </w:r>
          </w:p>
        </w:tc>
      </w:tr>
      <w:tr>
        <w:tblPrEx>
          <w:tblCellMar>
            <w:top w:w="0" w:type="dxa"/>
            <w:left w:w="108" w:type="dxa"/>
            <w:bottom w:w="0" w:type="dxa"/>
            <w:right w:w="108" w:type="dxa"/>
          </w:tblCellMar>
        </w:tblPrEx>
        <w:trPr>
          <w:trHeight w:val="585" w:hRule="atLeast"/>
          <w:jc w:val="center"/>
        </w:trPr>
        <w:tc>
          <w:tcPr>
            <w:tcW w:w="2799"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是否提交合格投资者</w:t>
            </w:r>
          </w:p>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证明材料</w:t>
            </w:r>
          </w:p>
        </w:tc>
        <w:tc>
          <w:tcPr>
            <w:tcW w:w="7883" w:type="dxa"/>
            <w:gridSpan w:val="6"/>
            <w:tcBorders>
              <w:top w:val="single" w:color="auto" w:sz="4" w:space="0"/>
              <w:left w:val="nil"/>
              <w:bottom w:val="single" w:color="auto" w:sz="4" w:space="0"/>
              <w:right w:val="single" w:color="000000" w:sz="8"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□是                   □否                </w:t>
            </w:r>
          </w:p>
        </w:tc>
      </w:tr>
      <w:tr>
        <w:tblPrEx>
          <w:tblCellMar>
            <w:top w:w="0" w:type="dxa"/>
            <w:left w:w="108" w:type="dxa"/>
            <w:bottom w:w="0" w:type="dxa"/>
            <w:right w:w="108" w:type="dxa"/>
          </w:tblCellMar>
        </w:tblPrEx>
        <w:trPr>
          <w:trHeight w:val="1062" w:hRule="atLeast"/>
          <w:jc w:val="center"/>
        </w:trPr>
        <w:tc>
          <w:tcPr>
            <w:tcW w:w="2799"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开户资料审核</w:t>
            </w:r>
          </w:p>
        </w:tc>
        <w:tc>
          <w:tcPr>
            <w:tcW w:w="7883" w:type="dxa"/>
            <w:gridSpan w:val="6"/>
            <w:tcBorders>
              <w:top w:val="single" w:color="auto" w:sz="4" w:space="0"/>
              <w:left w:val="nil"/>
              <w:bottom w:val="single" w:color="auto" w:sz="4" w:space="0"/>
              <w:right w:val="single" w:color="000000" w:sz="8"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□已审核投资者身份证明文件的真实性、有效性、完整性。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□已审核业务申请表中的填写信息与业务申请材料相关内容一致。</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□申请人、代办人已签名。</w:t>
            </w:r>
          </w:p>
        </w:tc>
      </w:tr>
      <w:tr>
        <w:tblPrEx>
          <w:tblCellMar>
            <w:top w:w="0" w:type="dxa"/>
            <w:left w:w="108" w:type="dxa"/>
            <w:bottom w:w="0" w:type="dxa"/>
            <w:right w:w="108" w:type="dxa"/>
          </w:tblCellMar>
        </w:tblPrEx>
        <w:trPr>
          <w:trHeight w:val="2324" w:hRule="atLeast"/>
          <w:jc w:val="center"/>
        </w:trPr>
        <w:tc>
          <w:tcPr>
            <w:tcW w:w="10682" w:type="dxa"/>
            <w:gridSpan w:val="8"/>
            <w:tcBorders>
              <w:top w:val="single" w:color="auto" w:sz="4" w:space="0"/>
              <w:left w:val="single" w:color="auto" w:sz="8" w:space="0"/>
              <w:bottom w:val="single" w:color="auto" w:sz="8" w:space="0"/>
              <w:right w:val="single" w:color="000000" w:sz="8"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经办人：                          复核人：                  开户机构用章：                                        业务联系电话：                                              填表日期：</w:t>
            </w:r>
          </w:p>
        </w:tc>
      </w:tr>
    </w:tbl>
    <w:p>
      <w:pPr>
        <w:jc w:val="center"/>
        <w:rPr>
          <w:rFonts w:ascii="微软雅黑" w:hAnsi="微软雅黑" w:eastAsia="微软雅黑"/>
          <w:b/>
          <w:sz w:val="36"/>
          <w:szCs w:val="36"/>
        </w:rPr>
      </w:pPr>
    </w:p>
    <w:p>
      <w:pPr>
        <w:jc w:val="center"/>
        <w:rPr>
          <w:rFonts w:ascii="微软雅黑" w:hAnsi="微软雅黑" w:eastAsia="微软雅黑"/>
          <w:b/>
          <w:sz w:val="36"/>
          <w:szCs w:val="36"/>
        </w:rPr>
      </w:pPr>
      <w:r>
        <w:rPr>
          <w:rFonts w:hint="eastAsia" w:ascii="微软雅黑" w:hAnsi="微软雅黑" w:eastAsia="微软雅黑"/>
          <w:b/>
          <w:sz w:val="36"/>
          <w:szCs w:val="36"/>
        </w:rPr>
        <w:t>投资风险揭示书</w:t>
      </w:r>
    </w:p>
    <w:p>
      <w:pPr>
        <w:rPr>
          <w:rFonts w:ascii="微软雅黑" w:hAnsi="微软雅黑" w:eastAsia="微软雅黑"/>
          <w:szCs w:val="21"/>
        </w:rPr>
      </w:pPr>
      <w:r>
        <w:rPr>
          <w:rFonts w:hint="eastAsia" w:ascii="微软雅黑" w:hAnsi="微软雅黑" w:eastAsia="微软雅黑"/>
          <w:szCs w:val="21"/>
        </w:rPr>
        <w:t>尊敬的投资者：</w:t>
      </w:r>
    </w:p>
    <w:p>
      <w:pPr>
        <w:rPr>
          <w:rFonts w:ascii="微软雅黑" w:hAnsi="微软雅黑" w:eastAsia="微软雅黑"/>
          <w:szCs w:val="21"/>
        </w:rPr>
      </w:pPr>
      <w:r>
        <w:rPr>
          <w:rFonts w:hint="eastAsia" w:ascii="微软雅黑" w:hAnsi="微软雅黑" w:eastAsia="微软雅黑"/>
          <w:szCs w:val="21"/>
        </w:rPr>
        <w:t>　　为了使您更好地了解天府</w:t>
      </w:r>
      <w:r>
        <w:rPr>
          <w:rFonts w:ascii="微软雅黑" w:hAnsi="微软雅黑" w:eastAsia="微软雅黑"/>
          <w:szCs w:val="21"/>
        </w:rPr>
        <w:t>（</w:t>
      </w:r>
      <w:r>
        <w:rPr>
          <w:rFonts w:hint="eastAsia" w:ascii="微软雅黑" w:hAnsi="微软雅黑" w:eastAsia="微软雅黑"/>
          <w:szCs w:val="21"/>
        </w:rPr>
        <w:t>四川</w:t>
      </w:r>
      <w:r>
        <w:rPr>
          <w:rFonts w:ascii="微软雅黑" w:hAnsi="微软雅黑" w:eastAsia="微软雅黑"/>
          <w:szCs w:val="21"/>
        </w:rPr>
        <w:t>）</w:t>
      </w:r>
      <w:r>
        <w:rPr>
          <w:rFonts w:hint="eastAsia" w:ascii="微软雅黑" w:hAnsi="微软雅黑" w:eastAsia="微软雅黑"/>
          <w:szCs w:val="21"/>
        </w:rPr>
        <w:t>联合</w:t>
      </w:r>
      <w:r>
        <w:rPr>
          <w:rFonts w:ascii="微软雅黑" w:hAnsi="微软雅黑" w:eastAsia="微软雅黑"/>
          <w:szCs w:val="21"/>
        </w:rPr>
        <w:t>股权交易中心股份有限公司</w:t>
      </w:r>
      <w:r>
        <w:rPr>
          <w:rFonts w:hint="eastAsia" w:ascii="微软雅黑" w:hAnsi="微软雅黑" w:eastAsia="微软雅黑"/>
          <w:szCs w:val="21"/>
        </w:rPr>
        <w:t>（以下简称“天府</w:t>
      </w:r>
      <w:r>
        <w:rPr>
          <w:rFonts w:ascii="微软雅黑" w:hAnsi="微软雅黑" w:eastAsia="微软雅黑"/>
          <w:szCs w:val="21"/>
        </w:rPr>
        <w:t>股交</w:t>
      </w:r>
      <w:r>
        <w:rPr>
          <w:rFonts w:hint="eastAsia" w:ascii="微软雅黑" w:hAnsi="微软雅黑" w:eastAsia="微软雅黑"/>
          <w:szCs w:val="21"/>
        </w:rPr>
        <w:t>中心”）挂牌</w:t>
      </w:r>
      <w:r>
        <w:rPr>
          <w:rFonts w:ascii="微软雅黑" w:hAnsi="微软雅黑" w:eastAsia="微软雅黑"/>
          <w:szCs w:val="21"/>
        </w:rPr>
        <w:t>的企业（</w:t>
      </w:r>
      <w:r>
        <w:rPr>
          <w:rFonts w:hint="eastAsia" w:ascii="微软雅黑" w:hAnsi="微软雅黑" w:eastAsia="微软雅黑"/>
          <w:szCs w:val="21"/>
        </w:rPr>
        <w:t>以下</w:t>
      </w:r>
      <w:r>
        <w:rPr>
          <w:rFonts w:ascii="微软雅黑" w:hAnsi="微软雅黑" w:eastAsia="微软雅黑"/>
          <w:szCs w:val="21"/>
        </w:rPr>
        <w:t>简称“</w:t>
      </w:r>
      <w:r>
        <w:rPr>
          <w:rFonts w:hint="eastAsia" w:ascii="微软雅黑" w:hAnsi="微软雅黑" w:eastAsia="微软雅黑"/>
          <w:szCs w:val="21"/>
        </w:rPr>
        <w:t>挂牌</w:t>
      </w:r>
      <w:r>
        <w:rPr>
          <w:rFonts w:ascii="微软雅黑" w:hAnsi="微软雅黑" w:eastAsia="微软雅黑"/>
          <w:szCs w:val="21"/>
        </w:rPr>
        <w:t>企业”）</w:t>
      </w:r>
      <w:r>
        <w:rPr>
          <w:rFonts w:hint="eastAsia" w:ascii="微软雅黑" w:hAnsi="微软雅黑" w:eastAsia="微软雅黑"/>
          <w:szCs w:val="21"/>
        </w:rPr>
        <w:t>、</w:t>
      </w:r>
      <w:r>
        <w:rPr>
          <w:rFonts w:ascii="微软雅黑" w:hAnsi="微软雅黑" w:eastAsia="微软雅黑"/>
          <w:szCs w:val="21"/>
        </w:rPr>
        <w:t>天府股交中心核准的相关证券产品（</w:t>
      </w:r>
      <w:r>
        <w:rPr>
          <w:rFonts w:hint="eastAsia" w:ascii="微软雅黑" w:hAnsi="微软雅黑" w:eastAsia="微软雅黑"/>
          <w:szCs w:val="21"/>
        </w:rPr>
        <w:t>以下</w:t>
      </w:r>
      <w:r>
        <w:rPr>
          <w:rFonts w:ascii="微软雅黑" w:hAnsi="微软雅黑" w:eastAsia="微软雅黑"/>
          <w:szCs w:val="21"/>
        </w:rPr>
        <w:t>简称“</w:t>
      </w:r>
      <w:r>
        <w:rPr>
          <w:rFonts w:hint="eastAsia" w:ascii="微软雅黑" w:hAnsi="微软雅黑" w:eastAsia="微软雅黑"/>
          <w:szCs w:val="21"/>
        </w:rPr>
        <w:t>证券</w:t>
      </w:r>
      <w:r>
        <w:rPr>
          <w:rFonts w:ascii="微软雅黑" w:hAnsi="微软雅黑" w:eastAsia="微软雅黑"/>
          <w:szCs w:val="21"/>
        </w:rPr>
        <w:t>产品”）</w:t>
      </w:r>
      <w:r>
        <w:rPr>
          <w:rFonts w:hint="eastAsia" w:ascii="微软雅黑" w:hAnsi="微软雅黑" w:eastAsia="微软雅黑"/>
          <w:szCs w:val="21"/>
        </w:rPr>
        <w:t>、</w:t>
      </w:r>
      <w:r>
        <w:rPr>
          <w:rFonts w:ascii="微软雅黑" w:hAnsi="微软雅黑" w:eastAsia="微软雅黑"/>
          <w:szCs w:val="21"/>
        </w:rPr>
        <w:t>天府股交中心其他权益类产品</w:t>
      </w:r>
      <w:r>
        <w:rPr>
          <w:rFonts w:hint="eastAsia" w:ascii="微软雅黑" w:hAnsi="微软雅黑" w:eastAsia="微软雅黑"/>
          <w:szCs w:val="21"/>
        </w:rPr>
        <w:t>的</w:t>
      </w:r>
      <w:r>
        <w:rPr>
          <w:rFonts w:ascii="微软雅黑" w:hAnsi="微软雅黑" w:eastAsia="微软雅黑"/>
          <w:szCs w:val="21"/>
        </w:rPr>
        <w:t>投资风险，</w:t>
      </w:r>
      <w:r>
        <w:rPr>
          <w:rFonts w:hint="eastAsia" w:ascii="微软雅黑" w:hAnsi="微软雅黑" w:eastAsia="微软雅黑"/>
          <w:szCs w:val="21"/>
        </w:rPr>
        <w:t>根据国家</w:t>
      </w:r>
      <w:r>
        <w:rPr>
          <w:rFonts w:ascii="微软雅黑" w:hAnsi="微软雅黑" w:eastAsia="微软雅黑"/>
          <w:szCs w:val="21"/>
        </w:rPr>
        <w:t>有关法律</w:t>
      </w:r>
      <w:r>
        <w:rPr>
          <w:rFonts w:hint="eastAsia" w:ascii="微软雅黑" w:hAnsi="微软雅黑" w:eastAsia="微软雅黑"/>
          <w:szCs w:val="21"/>
        </w:rPr>
        <w:t>法规</w:t>
      </w:r>
      <w:r>
        <w:rPr>
          <w:rFonts w:ascii="微软雅黑" w:hAnsi="微软雅黑" w:eastAsia="微软雅黑"/>
          <w:szCs w:val="21"/>
        </w:rPr>
        <w:t>、</w:t>
      </w:r>
      <w:r>
        <w:rPr>
          <w:rFonts w:hint="eastAsia" w:ascii="微软雅黑" w:hAnsi="微软雅黑" w:eastAsia="微软雅黑"/>
          <w:szCs w:val="21"/>
        </w:rPr>
        <w:t>部门</w:t>
      </w:r>
      <w:r>
        <w:rPr>
          <w:rFonts w:ascii="微软雅黑" w:hAnsi="微软雅黑" w:eastAsia="微软雅黑"/>
          <w:szCs w:val="21"/>
        </w:rPr>
        <w:t>规章和天府股交中心的相关业务规则，天府股交中心特为您提供此份</w:t>
      </w:r>
      <w:r>
        <w:rPr>
          <w:rFonts w:hint="eastAsia" w:ascii="微软雅黑" w:hAnsi="微软雅黑" w:eastAsia="微软雅黑"/>
          <w:szCs w:val="21"/>
        </w:rPr>
        <w:t>《</w:t>
      </w:r>
      <w:r>
        <w:rPr>
          <w:rFonts w:ascii="微软雅黑" w:hAnsi="微软雅黑" w:eastAsia="微软雅黑"/>
          <w:szCs w:val="21"/>
        </w:rPr>
        <w:t>投资风险揭示书</w:t>
      </w:r>
      <w:r>
        <w:rPr>
          <w:rFonts w:hint="eastAsia" w:ascii="微软雅黑" w:hAnsi="微软雅黑" w:eastAsia="微软雅黑"/>
          <w:szCs w:val="21"/>
        </w:rPr>
        <w:t>》</w:t>
      </w:r>
      <w:r>
        <w:rPr>
          <w:rFonts w:ascii="微软雅黑" w:hAnsi="微软雅黑" w:eastAsia="微软雅黑"/>
          <w:szCs w:val="21"/>
        </w:rPr>
        <w:t>，请认真阅读。</w:t>
      </w:r>
    </w:p>
    <w:p>
      <w:pPr>
        <w:ind w:firstLine="420" w:firstLineChars="200"/>
        <w:rPr>
          <w:rFonts w:ascii="微软雅黑" w:hAnsi="微软雅黑" w:eastAsia="微软雅黑"/>
          <w:szCs w:val="21"/>
        </w:rPr>
      </w:pPr>
      <w:r>
        <w:rPr>
          <w:rFonts w:hint="eastAsia" w:ascii="微软雅黑" w:hAnsi="微软雅黑" w:eastAsia="微软雅黑"/>
          <w:szCs w:val="21"/>
        </w:rPr>
        <w:t>一、重要提示</w:t>
      </w:r>
    </w:p>
    <w:p>
      <w:pPr>
        <w:rPr>
          <w:rFonts w:ascii="微软雅黑" w:hAnsi="微软雅黑" w:eastAsia="微软雅黑"/>
          <w:szCs w:val="21"/>
        </w:rPr>
      </w:pPr>
      <w:r>
        <w:rPr>
          <w:rFonts w:hint="eastAsia" w:ascii="微软雅黑" w:hAnsi="微软雅黑" w:eastAsia="微软雅黑"/>
          <w:szCs w:val="21"/>
        </w:rPr>
        <w:t>　　1、区域性股交中心</w:t>
      </w:r>
      <w:r>
        <w:rPr>
          <w:rFonts w:ascii="微软雅黑" w:hAnsi="微软雅黑" w:eastAsia="微软雅黑"/>
          <w:szCs w:val="21"/>
        </w:rPr>
        <w:t>的业务规则</w:t>
      </w:r>
      <w:r>
        <w:rPr>
          <w:rFonts w:hint="eastAsia" w:ascii="微软雅黑" w:hAnsi="微软雅黑" w:eastAsia="微软雅黑"/>
          <w:szCs w:val="21"/>
        </w:rPr>
        <w:t>与上海、深圳证券交易所的业务规则以及全国</w:t>
      </w:r>
      <w:r>
        <w:rPr>
          <w:rFonts w:ascii="微软雅黑" w:hAnsi="微软雅黑" w:eastAsia="微软雅黑"/>
          <w:szCs w:val="21"/>
        </w:rPr>
        <w:t>中小企业股份转让系统</w:t>
      </w:r>
      <w:r>
        <w:rPr>
          <w:rFonts w:hint="eastAsia" w:ascii="微软雅黑" w:hAnsi="微软雅黑" w:eastAsia="微软雅黑"/>
          <w:szCs w:val="21"/>
        </w:rPr>
        <w:t>业务规则存在很大差别，在参与天府</w:t>
      </w:r>
      <w:r>
        <w:rPr>
          <w:rFonts w:ascii="微软雅黑" w:hAnsi="微软雅黑" w:eastAsia="微软雅黑"/>
          <w:szCs w:val="21"/>
        </w:rPr>
        <w:t>股交中心证券业务之前，</w:t>
      </w:r>
      <w:r>
        <w:rPr>
          <w:rFonts w:hint="eastAsia" w:ascii="微软雅黑" w:hAnsi="微软雅黑" w:eastAsia="微软雅黑"/>
          <w:szCs w:val="21"/>
        </w:rPr>
        <w:t>请您务必认真阅读天府股交中心</w:t>
      </w:r>
      <w:r>
        <w:rPr>
          <w:rFonts w:ascii="微软雅黑" w:hAnsi="微软雅黑" w:eastAsia="微软雅黑"/>
          <w:szCs w:val="21"/>
        </w:rPr>
        <w:t>相关业务规则</w:t>
      </w:r>
      <w:r>
        <w:rPr>
          <w:rFonts w:hint="eastAsia" w:ascii="微软雅黑" w:hAnsi="微软雅黑" w:eastAsia="微软雅黑"/>
          <w:szCs w:val="21"/>
        </w:rPr>
        <w:t>。</w:t>
      </w:r>
    </w:p>
    <w:p>
      <w:pPr>
        <w:ind w:firstLine="420" w:firstLineChars="200"/>
        <w:rPr>
          <w:rFonts w:ascii="微软雅黑" w:hAnsi="微软雅黑" w:eastAsia="微软雅黑"/>
          <w:szCs w:val="21"/>
        </w:rPr>
      </w:pPr>
      <w:r>
        <w:rPr>
          <w:rFonts w:hint="eastAsia" w:ascii="微软雅黑" w:hAnsi="微软雅黑" w:eastAsia="微软雅黑"/>
          <w:szCs w:val="21"/>
        </w:rPr>
        <w:t>2、天府</w:t>
      </w:r>
      <w:r>
        <w:rPr>
          <w:rFonts w:ascii="微软雅黑" w:hAnsi="微软雅黑" w:eastAsia="微软雅黑"/>
          <w:szCs w:val="21"/>
        </w:rPr>
        <w:t>股交中心</w:t>
      </w:r>
      <w:r>
        <w:rPr>
          <w:rFonts w:hint="eastAsia" w:ascii="微软雅黑" w:hAnsi="微软雅黑" w:eastAsia="微软雅黑"/>
          <w:szCs w:val="21"/>
        </w:rPr>
        <w:t>的</w:t>
      </w:r>
      <w:r>
        <w:rPr>
          <w:rFonts w:ascii="微软雅黑" w:hAnsi="微软雅黑" w:eastAsia="微软雅黑"/>
          <w:szCs w:val="21"/>
        </w:rPr>
        <w:t>相关业务规则还需要不断完善，投资者</w:t>
      </w:r>
      <w:r>
        <w:rPr>
          <w:rFonts w:hint="eastAsia" w:ascii="微软雅黑" w:hAnsi="微软雅黑" w:eastAsia="微软雅黑"/>
          <w:szCs w:val="21"/>
        </w:rPr>
        <w:t>须</w:t>
      </w:r>
      <w:r>
        <w:rPr>
          <w:rFonts w:ascii="微软雅黑" w:hAnsi="微软雅黑" w:eastAsia="微软雅黑"/>
          <w:szCs w:val="21"/>
        </w:rPr>
        <w:t>密切关注相关规则的调整</w:t>
      </w:r>
      <w:r>
        <w:rPr>
          <w:rFonts w:hint="eastAsia" w:ascii="微软雅黑" w:hAnsi="微软雅黑" w:eastAsia="微软雅黑"/>
          <w:szCs w:val="21"/>
        </w:rPr>
        <w:t>。</w:t>
      </w:r>
    </w:p>
    <w:p>
      <w:pPr>
        <w:ind w:firstLine="420" w:firstLineChars="200"/>
        <w:rPr>
          <w:rFonts w:ascii="微软雅黑" w:hAnsi="微软雅黑" w:eastAsia="微软雅黑"/>
          <w:szCs w:val="21"/>
        </w:rPr>
      </w:pPr>
      <w:r>
        <w:rPr>
          <w:rFonts w:hint="eastAsia" w:ascii="微软雅黑" w:hAnsi="微软雅黑" w:eastAsia="微软雅黑"/>
          <w:szCs w:val="21"/>
        </w:rPr>
        <w:t>3、天府</w:t>
      </w:r>
      <w:r>
        <w:rPr>
          <w:rFonts w:ascii="微软雅黑" w:hAnsi="微软雅黑" w:eastAsia="微软雅黑"/>
          <w:szCs w:val="21"/>
        </w:rPr>
        <w:t>股交中心的</w:t>
      </w:r>
      <w:r>
        <w:rPr>
          <w:rFonts w:hint="eastAsia" w:ascii="微软雅黑" w:hAnsi="微软雅黑" w:eastAsia="微软雅黑"/>
          <w:szCs w:val="21"/>
        </w:rPr>
        <w:t>证券</w:t>
      </w:r>
      <w:r>
        <w:rPr>
          <w:rFonts w:ascii="微软雅黑" w:hAnsi="微软雅黑" w:eastAsia="微软雅黑"/>
          <w:szCs w:val="21"/>
        </w:rPr>
        <w:t>产品（</w:t>
      </w:r>
      <w:r>
        <w:rPr>
          <w:rFonts w:hint="eastAsia" w:ascii="微软雅黑" w:hAnsi="微软雅黑" w:eastAsia="微软雅黑"/>
          <w:szCs w:val="21"/>
        </w:rPr>
        <w:t>股票</w:t>
      </w:r>
      <w:r>
        <w:rPr>
          <w:rFonts w:ascii="微软雅黑" w:hAnsi="微软雅黑" w:eastAsia="微软雅黑"/>
          <w:szCs w:val="21"/>
        </w:rPr>
        <w:t>、</w:t>
      </w:r>
      <w:r>
        <w:rPr>
          <w:rFonts w:hint="eastAsia" w:ascii="微软雅黑" w:hAnsi="微软雅黑" w:eastAsia="微软雅黑"/>
          <w:szCs w:val="21"/>
        </w:rPr>
        <w:t>可转债等</w:t>
      </w:r>
      <w:r>
        <w:rPr>
          <w:rFonts w:ascii="微软雅黑" w:hAnsi="微软雅黑" w:eastAsia="微软雅黑"/>
          <w:szCs w:val="21"/>
        </w:rPr>
        <w:t>）</w:t>
      </w:r>
      <w:r>
        <w:rPr>
          <w:rFonts w:hint="eastAsia" w:ascii="微软雅黑" w:hAnsi="微软雅黑" w:eastAsia="微软雅黑"/>
          <w:szCs w:val="21"/>
        </w:rPr>
        <w:t>不同于公开</w:t>
      </w:r>
      <w:r>
        <w:rPr>
          <w:rFonts w:ascii="微软雅黑" w:hAnsi="微软雅黑" w:eastAsia="微软雅黑"/>
          <w:szCs w:val="21"/>
        </w:rPr>
        <w:t>发行的证券产品，</w:t>
      </w:r>
      <w:r>
        <w:rPr>
          <w:rFonts w:hint="eastAsia" w:ascii="微软雅黑" w:hAnsi="微软雅黑" w:eastAsia="微软雅黑"/>
          <w:szCs w:val="21"/>
        </w:rPr>
        <w:t>而</w:t>
      </w:r>
      <w:r>
        <w:rPr>
          <w:rFonts w:ascii="微软雅黑" w:hAnsi="微软雅黑" w:eastAsia="微软雅黑"/>
          <w:szCs w:val="21"/>
        </w:rPr>
        <w:t>是针对特定合格投资者以非公开方式发行的</w:t>
      </w:r>
      <w:r>
        <w:rPr>
          <w:rFonts w:hint="eastAsia" w:ascii="微软雅黑" w:hAnsi="微软雅黑" w:eastAsia="微软雅黑"/>
          <w:szCs w:val="21"/>
        </w:rPr>
        <w:t>证券产品</w:t>
      </w:r>
      <w:r>
        <w:rPr>
          <w:rFonts w:ascii="微软雅黑" w:hAnsi="微软雅黑" w:eastAsia="微软雅黑"/>
          <w:szCs w:val="21"/>
        </w:rPr>
        <w:t>。</w:t>
      </w:r>
    </w:p>
    <w:p>
      <w:pPr>
        <w:ind w:firstLine="420" w:firstLineChars="200"/>
        <w:rPr>
          <w:rFonts w:ascii="微软雅黑" w:hAnsi="微软雅黑" w:eastAsia="微软雅黑"/>
          <w:szCs w:val="21"/>
        </w:rPr>
      </w:pPr>
      <w:r>
        <w:rPr>
          <w:rFonts w:ascii="微软雅黑" w:hAnsi="微软雅黑" w:eastAsia="微软雅黑"/>
          <w:szCs w:val="21"/>
        </w:rPr>
        <w:t>4</w:t>
      </w:r>
      <w:r>
        <w:rPr>
          <w:rFonts w:hint="eastAsia" w:ascii="微软雅黑" w:hAnsi="微软雅黑" w:eastAsia="微软雅黑"/>
          <w:szCs w:val="21"/>
        </w:rPr>
        <w:t>、挂牌</w:t>
      </w:r>
      <w:r>
        <w:rPr>
          <w:rFonts w:ascii="微软雅黑" w:hAnsi="微软雅黑" w:eastAsia="微软雅黑"/>
          <w:szCs w:val="21"/>
        </w:rPr>
        <w:t>企业</w:t>
      </w:r>
      <w:r>
        <w:rPr>
          <w:rFonts w:hint="eastAsia" w:ascii="微软雅黑" w:hAnsi="微软雅黑" w:eastAsia="微软雅黑"/>
          <w:szCs w:val="21"/>
        </w:rPr>
        <w:t>、</w:t>
      </w:r>
      <w:r>
        <w:rPr>
          <w:rFonts w:ascii="微软雅黑" w:hAnsi="微软雅黑" w:eastAsia="微软雅黑"/>
          <w:szCs w:val="21"/>
        </w:rPr>
        <w:t>证券产品</w:t>
      </w:r>
      <w:r>
        <w:rPr>
          <w:rFonts w:hint="eastAsia" w:ascii="微软雅黑" w:hAnsi="微软雅黑" w:eastAsia="微软雅黑"/>
          <w:szCs w:val="21"/>
        </w:rPr>
        <w:t>、</w:t>
      </w:r>
      <w:r>
        <w:rPr>
          <w:rFonts w:ascii="微软雅黑" w:hAnsi="微软雅黑" w:eastAsia="微软雅黑"/>
          <w:szCs w:val="21"/>
        </w:rPr>
        <w:t>其他权益类产品有可能因多种原因发生巨大波动，</w:t>
      </w:r>
      <w:r>
        <w:rPr>
          <w:rFonts w:hint="eastAsia" w:ascii="微软雅黑" w:hAnsi="微软雅黑" w:eastAsia="微软雅黑"/>
          <w:szCs w:val="21"/>
        </w:rPr>
        <w:t>投资者</w:t>
      </w:r>
      <w:r>
        <w:rPr>
          <w:rFonts w:ascii="微软雅黑" w:hAnsi="微软雅黑" w:eastAsia="微软雅黑"/>
          <w:szCs w:val="21"/>
        </w:rPr>
        <w:t>应充分关注投资</w:t>
      </w:r>
      <w:r>
        <w:rPr>
          <w:rFonts w:hint="eastAsia" w:ascii="微软雅黑" w:hAnsi="微软雅黑" w:eastAsia="微软雅黑"/>
          <w:szCs w:val="21"/>
        </w:rPr>
        <w:t>或</w:t>
      </w:r>
      <w:r>
        <w:rPr>
          <w:rFonts w:ascii="微软雅黑" w:hAnsi="微软雅黑" w:eastAsia="微软雅黑"/>
          <w:szCs w:val="21"/>
        </w:rPr>
        <w:t>交易风险。天府</w:t>
      </w:r>
      <w:r>
        <w:rPr>
          <w:rFonts w:hint="eastAsia" w:ascii="微软雅黑" w:hAnsi="微软雅黑" w:eastAsia="微软雅黑"/>
          <w:szCs w:val="21"/>
        </w:rPr>
        <w:t>股交</w:t>
      </w:r>
      <w:r>
        <w:rPr>
          <w:rFonts w:ascii="微软雅黑" w:hAnsi="微软雅黑" w:eastAsia="微软雅黑"/>
          <w:szCs w:val="21"/>
        </w:rPr>
        <w:t>中心仅为您提供服务平台并监督其信息披露，对于投资</w:t>
      </w:r>
      <w:r>
        <w:rPr>
          <w:rFonts w:hint="eastAsia" w:ascii="微软雅黑" w:hAnsi="微软雅黑" w:eastAsia="微软雅黑"/>
          <w:szCs w:val="21"/>
        </w:rPr>
        <w:t>收益</w:t>
      </w:r>
      <w:r>
        <w:rPr>
          <w:rFonts w:ascii="微软雅黑" w:hAnsi="微软雅黑" w:eastAsia="微软雅黑"/>
          <w:szCs w:val="21"/>
        </w:rPr>
        <w:t>不做任何承诺，同时对投资</w:t>
      </w:r>
      <w:r>
        <w:rPr>
          <w:rFonts w:hint="eastAsia" w:ascii="微软雅黑" w:hAnsi="微软雅黑" w:eastAsia="微软雅黑"/>
          <w:szCs w:val="21"/>
        </w:rPr>
        <w:t>和</w:t>
      </w:r>
      <w:r>
        <w:rPr>
          <w:rFonts w:ascii="微软雅黑" w:hAnsi="微软雅黑" w:eastAsia="微软雅黑"/>
          <w:szCs w:val="21"/>
        </w:rPr>
        <w:t>交易损失不承担任何责任。</w:t>
      </w:r>
    </w:p>
    <w:p>
      <w:pPr>
        <w:ind w:left="420" w:leftChars="200"/>
        <w:rPr>
          <w:rFonts w:ascii="微软雅黑" w:hAnsi="微软雅黑" w:eastAsia="微软雅黑"/>
          <w:szCs w:val="21"/>
        </w:rPr>
      </w:pPr>
      <w:r>
        <w:rPr>
          <w:rFonts w:hint="eastAsia" w:ascii="微软雅黑" w:hAnsi="微软雅黑" w:eastAsia="微软雅黑"/>
          <w:szCs w:val="21"/>
        </w:rPr>
        <w:t>二</w:t>
      </w:r>
      <w:r>
        <w:rPr>
          <w:rFonts w:ascii="微软雅黑" w:hAnsi="微软雅黑" w:eastAsia="微软雅黑"/>
          <w:szCs w:val="21"/>
        </w:rPr>
        <w:t>、风险揭示</w:t>
      </w:r>
    </w:p>
    <w:p>
      <w:pPr>
        <w:ind w:firstLine="420" w:firstLineChars="200"/>
        <w:rPr>
          <w:rFonts w:ascii="微软雅黑" w:hAnsi="微软雅黑" w:eastAsia="微软雅黑"/>
          <w:szCs w:val="21"/>
        </w:rPr>
      </w:pPr>
      <w:r>
        <w:rPr>
          <w:rFonts w:hint="eastAsia" w:ascii="微软雅黑" w:hAnsi="微软雅黑" w:eastAsia="微软雅黑"/>
          <w:szCs w:val="21"/>
        </w:rPr>
        <w:t>参与挂牌</w:t>
      </w:r>
      <w:r>
        <w:rPr>
          <w:rFonts w:ascii="微软雅黑" w:hAnsi="微软雅黑" w:eastAsia="微软雅黑"/>
          <w:szCs w:val="21"/>
        </w:rPr>
        <w:t>企业</w:t>
      </w:r>
      <w:r>
        <w:rPr>
          <w:rFonts w:hint="eastAsia" w:ascii="微软雅黑" w:hAnsi="微软雅黑" w:eastAsia="微软雅黑"/>
          <w:szCs w:val="21"/>
        </w:rPr>
        <w:t>、证券产品及</w:t>
      </w:r>
      <w:r>
        <w:rPr>
          <w:rFonts w:ascii="微软雅黑" w:hAnsi="微软雅黑" w:eastAsia="微软雅黑"/>
          <w:szCs w:val="21"/>
        </w:rPr>
        <w:t>权益类产品投资</w:t>
      </w:r>
      <w:r>
        <w:rPr>
          <w:rFonts w:hint="eastAsia" w:ascii="微软雅黑" w:hAnsi="微软雅黑" w:eastAsia="微软雅黑"/>
          <w:szCs w:val="21"/>
        </w:rPr>
        <w:t>或</w:t>
      </w:r>
      <w:r>
        <w:rPr>
          <w:rFonts w:ascii="微软雅黑" w:hAnsi="微软雅黑" w:eastAsia="微软雅黑"/>
          <w:szCs w:val="21"/>
        </w:rPr>
        <w:t>交易业务的投资者要关注</w:t>
      </w:r>
      <w:r>
        <w:rPr>
          <w:rFonts w:hint="eastAsia" w:ascii="微软雅黑" w:hAnsi="微软雅黑" w:eastAsia="微软雅黑"/>
          <w:szCs w:val="21"/>
        </w:rPr>
        <w:t>以下</w:t>
      </w:r>
      <w:r>
        <w:rPr>
          <w:rFonts w:ascii="微软雅黑" w:hAnsi="微软雅黑" w:eastAsia="微软雅黑"/>
          <w:szCs w:val="21"/>
        </w:rPr>
        <w:t>风险：</w:t>
      </w:r>
    </w:p>
    <w:p>
      <w:pPr>
        <w:rPr>
          <w:rFonts w:ascii="微软雅黑" w:hAnsi="微软雅黑" w:eastAsia="微软雅黑"/>
          <w:szCs w:val="21"/>
        </w:rPr>
      </w:pPr>
      <w:r>
        <w:rPr>
          <w:rFonts w:hint="eastAsia" w:ascii="微软雅黑" w:hAnsi="微软雅黑" w:eastAsia="微软雅黑"/>
          <w:szCs w:val="21"/>
        </w:rPr>
        <w:t>　  1、宏观经济风险：由于我国及周边国家、地区宏观经济环境和周边市场的变化引起的</w:t>
      </w:r>
    </w:p>
    <w:p>
      <w:pPr>
        <w:widowControl/>
        <w:jc w:val="left"/>
        <w:rPr>
          <w:rFonts w:ascii="微软雅黑" w:hAnsi="微软雅黑" w:eastAsia="微软雅黑"/>
          <w:szCs w:val="21"/>
        </w:rPr>
      </w:pPr>
      <w:r>
        <w:rPr>
          <w:rFonts w:hint="eastAsia" w:ascii="微软雅黑" w:hAnsi="微软雅黑" w:eastAsia="微软雅黑"/>
          <w:szCs w:val="21"/>
        </w:rPr>
        <w:t>市场的波动，</w:t>
      </w:r>
      <w:r>
        <w:rPr>
          <w:rFonts w:ascii="微软雅黑" w:hAnsi="微软雅黑" w:eastAsia="微软雅黑"/>
          <w:szCs w:val="21"/>
        </w:rPr>
        <w:t>可能引起</w:t>
      </w:r>
      <w:r>
        <w:rPr>
          <w:rFonts w:hint="eastAsia" w:ascii="微软雅黑" w:hAnsi="微软雅黑" w:eastAsia="微软雅黑"/>
          <w:szCs w:val="21"/>
        </w:rPr>
        <w:t>挂牌</w:t>
      </w:r>
      <w:r>
        <w:rPr>
          <w:rFonts w:ascii="微软雅黑" w:hAnsi="微软雅黑" w:eastAsia="微软雅黑"/>
          <w:szCs w:val="21"/>
        </w:rPr>
        <w:t>企业及证券产品的波动，从而使您存在亏损的可能，您将不得不承担由此</w:t>
      </w:r>
      <w:r>
        <w:rPr>
          <w:rFonts w:hint="eastAsia" w:ascii="微软雅黑" w:hAnsi="微软雅黑" w:eastAsia="微软雅黑"/>
          <w:szCs w:val="21"/>
        </w:rPr>
        <w:t>造成</w:t>
      </w:r>
      <w:r>
        <w:rPr>
          <w:rFonts w:ascii="微软雅黑" w:hAnsi="微软雅黑" w:eastAsia="微软雅黑"/>
          <w:szCs w:val="21"/>
        </w:rPr>
        <w:t>的损失。</w:t>
      </w:r>
    </w:p>
    <w:p>
      <w:pPr>
        <w:rPr>
          <w:rFonts w:ascii="微软雅黑" w:hAnsi="微软雅黑" w:eastAsia="微软雅黑"/>
          <w:szCs w:val="21"/>
        </w:rPr>
      </w:pPr>
      <w:r>
        <w:rPr>
          <w:rFonts w:ascii="微软雅黑" w:hAnsi="微软雅黑" w:eastAsia="微软雅黑"/>
          <w:szCs w:val="21"/>
        </w:rPr>
        <w:t xml:space="preserve">    2</w:t>
      </w:r>
      <w:r>
        <w:rPr>
          <w:rFonts w:hint="eastAsia" w:ascii="微软雅黑" w:hAnsi="微软雅黑" w:eastAsia="微软雅黑"/>
          <w:szCs w:val="21"/>
        </w:rPr>
        <w:t>、政策</w:t>
      </w:r>
      <w:r>
        <w:rPr>
          <w:rFonts w:ascii="微软雅黑" w:hAnsi="微软雅黑" w:eastAsia="微软雅黑"/>
          <w:szCs w:val="21"/>
        </w:rPr>
        <w:t>风险：</w:t>
      </w:r>
      <w:r>
        <w:rPr>
          <w:rFonts w:hint="eastAsia" w:ascii="微软雅黑" w:hAnsi="微软雅黑" w:eastAsia="微软雅黑"/>
          <w:szCs w:val="21"/>
        </w:rPr>
        <w:t>有关天府</w:t>
      </w:r>
      <w:r>
        <w:rPr>
          <w:rFonts w:ascii="微软雅黑" w:hAnsi="微软雅黑" w:eastAsia="微软雅黑"/>
          <w:szCs w:val="21"/>
        </w:rPr>
        <w:t>股交中心的法律</w:t>
      </w:r>
      <w:r>
        <w:rPr>
          <w:rFonts w:hint="eastAsia" w:ascii="微软雅黑" w:hAnsi="微软雅黑" w:eastAsia="微软雅黑"/>
          <w:szCs w:val="21"/>
        </w:rPr>
        <w:t>、</w:t>
      </w:r>
      <w:r>
        <w:rPr>
          <w:rFonts w:ascii="微软雅黑" w:hAnsi="微软雅黑" w:eastAsia="微软雅黑"/>
          <w:szCs w:val="21"/>
        </w:rPr>
        <w:t>法规及相关政策、规则发生变化，可能引起市场的波动，</w:t>
      </w:r>
      <w:r>
        <w:rPr>
          <w:rFonts w:hint="eastAsia" w:ascii="微软雅黑" w:hAnsi="微软雅黑" w:eastAsia="微软雅黑"/>
          <w:szCs w:val="21"/>
        </w:rPr>
        <w:t>使您</w:t>
      </w:r>
      <w:r>
        <w:rPr>
          <w:rFonts w:ascii="微软雅黑" w:hAnsi="微软雅黑" w:eastAsia="微软雅黑"/>
          <w:szCs w:val="21"/>
        </w:rPr>
        <w:t>存在亏损的可能，</w:t>
      </w:r>
      <w:r>
        <w:rPr>
          <w:rFonts w:hint="eastAsia" w:ascii="微软雅黑" w:hAnsi="微软雅黑" w:eastAsia="微软雅黑"/>
          <w:szCs w:val="21"/>
        </w:rPr>
        <w:t>您</w:t>
      </w:r>
      <w:r>
        <w:rPr>
          <w:rFonts w:ascii="微软雅黑" w:hAnsi="微软雅黑" w:eastAsia="微软雅黑"/>
          <w:szCs w:val="21"/>
        </w:rPr>
        <w:t>不得不承担由此造成的损失</w:t>
      </w:r>
      <w:r>
        <w:rPr>
          <w:rFonts w:hint="eastAsia" w:ascii="微软雅黑" w:hAnsi="微软雅黑" w:eastAsia="微软雅黑"/>
          <w:szCs w:val="21"/>
        </w:rPr>
        <w:t>。</w:t>
      </w:r>
    </w:p>
    <w:p>
      <w:pPr>
        <w:ind w:firstLine="420" w:firstLineChars="200"/>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、公司</w:t>
      </w:r>
      <w:r>
        <w:rPr>
          <w:rFonts w:ascii="微软雅黑" w:hAnsi="微软雅黑" w:eastAsia="微软雅黑"/>
          <w:szCs w:val="21"/>
        </w:rPr>
        <w:t>风险：天府股交中心</w:t>
      </w:r>
      <w:r>
        <w:rPr>
          <w:rFonts w:hint="eastAsia" w:ascii="微软雅黑" w:hAnsi="微软雅黑" w:eastAsia="微软雅黑"/>
          <w:szCs w:val="21"/>
        </w:rPr>
        <w:t>只能</w:t>
      </w:r>
      <w:r>
        <w:rPr>
          <w:rFonts w:ascii="微软雅黑" w:hAnsi="微软雅黑" w:eastAsia="微软雅黑"/>
          <w:szCs w:val="21"/>
        </w:rPr>
        <w:t>在</w:t>
      </w:r>
      <w:r>
        <w:rPr>
          <w:rFonts w:hint="eastAsia" w:ascii="微软雅黑" w:hAnsi="微软雅黑" w:eastAsia="微软雅黑"/>
          <w:szCs w:val="21"/>
        </w:rPr>
        <w:t>法律</w:t>
      </w:r>
      <w:r>
        <w:rPr>
          <w:rFonts w:ascii="微软雅黑" w:hAnsi="微软雅黑" w:eastAsia="微软雅黑"/>
          <w:szCs w:val="21"/>
        </w:rPr>
        <w:t>法规及</w:t>
      </w:r>
      <w:r>
        <w:rPr>
          <w:rFonts w:hint="eastAsia" w:ascii="微软雅黑" w:hAnsi="微软雅黑" w:eastAsia="微软雅黑"/>
          <w:szCs w:val="21"/>
        </w:rPr>
        <w:t>天府</w:t>
      </w:r>
      <w:r>
        <w:rPr>
          <w:rFonts w:ascii="微软雅黑" w:hAnsi="微软雅黑" w:eastAsia="微软雅黑"/>
          <w:szCs w:val="21"/>
        </w:rPr>
        <w:t>股交中心业务规则允许的范围内</w:t>
      </w:r>
      <w:r>
        <w:rPr>
          <w:rFonts w:hint="eastAsia" w:ascii="微软雅黑" w:hAnsi="微软雅黑" w:eastAsia="微软雅黑"/>
          <w:szCs w:val="21"/>
        </w:rPr>
        <w:t>尽可能督促信息披露义务人</w:t>
      </w:r>
      <w:r>
        <w:rPr>
          <w:rFonts w:ascii="微软雅黑" w:hAnsi="微软雅黑" w:eastAsia="微软雅黑"/>
          <w:szCs w:val="21"/>
        </w:rPr>
        <w:t>完整的向</w:t>
      </w:r>
      <w:r>
        <w:rPr>
          <w:rFonts w:hint="eastAsia" w:ascii="微软雅黑" w:hAnsi="微软雅黑" w:eastAsia="微软雅黑"/>
          <w:szCs w:val="21"/>
        </w:rPr>
        <w:t>您</w:t>
      </w:r>
      <w:r>
        <w:rPr>
          <w:rFonts w:ascii="微软雅黑" w:hAnsi="微软雅黑" w:eastAsia="微软雅黑"/>
          <w:szCs w:val="21"/>
        </w:rPr>
        <w:t>进行信息披露，在此基础上，您将不得不承担由于证券产品管理风险造成的损失；部分</w:t>
      </w:r>
      <w:r>
        <w:rPr>
          <w:rFonts w:hint="eastAsia" w:ascii="微软雅黑" w:hAnsi="微软雅黑" w:eastAsia="微软雅黑"/>
          <w:szCs w:val="21"/>
        </w:rPr>
        <w:t>证券</w:t>
      </w:r>
      <w:r>
        <w:rPr>
          <w:rFonts w:ascii="微软雅黑" w:hAnsi="微软雅黑" w:eastAsia="微软雅黑"/>
          <w:szCs w:val="21"/>
        </w:rPr>
        <w:t>产品</w:t>
      </w:r>
      <w:r>
        <w:rPr>
          <w:rFonts w:hint="eastAsia" w:ascii="微软雅黑" w:hAnsi="微软雅黑" w:eastAsia="微软雅黑"/>
          <w:szCs w:val="21"/>
        </w:rPr>
        <w:t>抗市场</w:t>
      </w:r>
      <w:r>
        <w:rPr>
          <w:rFonts w:ascii="微软雅黑" w:hAnsi="微软雅黑" w:eastAsia="微软雅黑"/>
          <w:szCs w:val="21"/>
        </w:rPr>
        <w:t>风险和行业风险的能力较弱，您将不得不承担由此造成的损失。</w:t>
      </w:r>
    </w:p>
    <w:p>
      <w:pPr>
        <w:ind w:firstLine="420" w:firstLineChars="200"/>
        <w:rPr>
          <w:rFonts w:ascii="微软雅黑" w:hAnsi="微软雅黑" w:eastAsia="微软雅黑"/>
          <w:szCs w:val="21"/>
        </w:rPr>
      </w:pPr>
      <w:r>
        <w:rPr>
          <w:rFonts w:ascii="微软雅黑" w:hAnsi="微软雅黑" w:eastAsia="微软雅黑"/>
          <w:szCs w:val="21"/>
        </w:rPr>
        <w:t>4</w:t>
      </w:r>
      <w:r>
        <w:rPr>
          <w:rFonts w:hint="eastAsia" w:ascii="微软雅黑" w:hAnsi="微软雅黑" w:eastAsia="微软雅黑"/>
          <w:szCs w:val="21"/>
        </w:rPr>
        <w:t>、技术</w:t>
      </w:r>
      <w:r>
        <w:rPr>
          <w:rFonts w:ascii="微软雅黑" w:hAnsi="微软雅黑" w:eastAsia="微软雅黑"/>
          <w:szCs w:val="21"/>
        </w:rPr>
        <w:t>风险：由于证券交易、清算、行情揭示及银行转账是通过电子通讯技术和电脑技术来实现的，这些技术存在着</w:t>
      </w:r>
      <w:r>
        <w:rPr>
          <w:rFonts w:hint="eastAsia" w:ascii="微软雅黑" w:hAnsi="微软雅黑" w:eastAsia="微软雅黑"/>
          <w:szCs w:val="21"/>
        </w:rPr>
        <w:t>被</w:t>
      </w:r>
      <w:r>
        <w:rPr>
          <w:rFonts w:ascii="微软雅黑" w:hAnsi="微软雅黑" w:eastAsia="微软雅黑"/>
          <w:szCs w:val="21"/>
        </w:rPr>
        <w:t>网络黑客和计算机病毒攻击的可能，同时通讯技术、电脑技术和相关软件具有存在缺陷的可能，这些风险可能给您带来损失或</w:t>
      </w:r>
      <w:r>
        <w:rPr>
          <w:rFonts w:hint="eastAsia" w:ascii="微软雅黑" w:hAnsi="微软雅黑" w:eastAsia="微软雅黑"/>
          <w:szCs w:val="21"/>
        </w:rPr>
        <w:t>银证</w:t>
      </w:r>
      <w:r>
        <w:rPr>
          <w:rFonts w:ascii="微软雅黑" w:hAnsi="微软雅黑" w:eastAsia="微软雅黑"/>
          <w:szCs w:val="21"/>
        </w:rPr>
        <w:t>转账不能</w:t>
      </w:r>
      <w:r>
        <w:rPr>
          <w:rFonts w:hint="eastAsia" w:ascii="微软雅黑" w:hAnsi="微软雅黑" w:eastAsia="微软雅黑"/>
          <w:szCs w:val="21"/>
        </w:rPr>
        <w:t>及时</w:t>
      </w:r>
      <w:r>
        <w:rPr>
          <w:rFonts w:ascii="微软雅黑" w:hAnsi="微软雅黑" w:eastAsia="微软雅黑"/>
          <w:szCs w:val="21"/>
        </w:rPr>
        <w:t>到账而造成的损失。</w:t>
      </w:r>
    </w:p>
    <w:p>
      <w:pPr>
        <w:ind w:firstLine="420" w:firstLineChars="200"/>
        <w:rPr>
          <w:rFonts w:ascii="微软雅黑" w:hAnsi="微软雅黑" w:eastAsia="微软雅黑"/>
          <w:szCs w:val="21"/>
        </w:rPr>
      </w:pPr>
      <w:r>
        <w:rPr>
          <w:rFonts w:ascii="微软雅黑" w:hAnsi="微软雅黑" w:eastAsia="微软雅黑"/>
          <w:szCs w:val="21"/>
        </w:rPr>
        <w:t>5</w:t>
      </w:r>
      <w:r>
        <w:rPr>
          <w:rFonts w:hint="eastAsia" w:ascii="微软雅黑" w:hAnsi="微软雅黑" w:eastAsia="微软雅黑"/>
          <w:szCs w:val="21"/>
        </w:rPr>
        <w:t>、不可</w:t>
      </w:r>
      <w:r>
        <w:rPr>
          <w:rFonts w:ascii="微软雅黑" w:hAnsi="微软雅黑" w:eastAsia="微软雅黑"/>
          <w:szCs w:val="21"/>
        </w:rPr>
        <w:t>抗力因素导致的风险：</w:t>
      </w:r>
      <w:r>
        <w:rPr>
          <w:rFonts w:hint="eastAsia" w:ascii="微软雅黑" w:hAnsi="微软雅黑" w:eastAsia="微软雅黑"/>
          <w:szCs w:val="21"/>
        </w:rPr>
        <w:t>诸如地震、火灾、水灾、战争等不可抗力因素可能导致交易系统的瘫痪，您将不得不承担由此导致的损失。</w:t>
      </w:r>
    </w:p>
    <w:p>
      <w:pPr>
        <w:ind w:firstLine="420" w:firstLineChars="200"/>
        <w:rPr>
          <w:rFonts w:ascii="微软雅黑" w:hAnsi="微软雅黑" w:eastAsia="微软雅黑"/>
          <w:szCs w:val="21"/>
        </w:rPr>
      </w:pPr>
      <w:r>
        <w:rPr>
          <w:rFonts w:hint="eastAsia" w:ascii="微软雅黑" w:hAnsi="微软雅黑" w:eastAsia="微软雅黑"/>
          <w:szCs w:val="21"/>
        </w:rPr>
        <w:t>6、其他</w:t>
      </w:r>
      <w:r>
        <w:rPr>
          <w:rFonts w:ascii="微软雅黑" w:hAnsi="微软雅黑" w:eastAsia="微软雅黑"/>
          <w:szCs w:val="21"/>
        </w:rPr>
        <w:t>风险：</w:t>
      </w:r>
      <w:r>
        <w:rPr>
          <w:rFonts w:hint="eastAsia" w:ascii="微软雅黑" w:hAnsi="微软雅黑" w:eastAsia="微软雅黑"/>
          <w:szCs w:val="21"/>
        </w:rPr>
        <w:t>由于</w:t>
      </w:r>
      <w:r>
        <w:rPr>
          <w:rFonts w:ascii="微软雅黑" w:hAnsi="微软雅黑" w:eastAsia="微软雅黑"/>
          <w:szCs w:val="21"/>
        </w:rPr>
        <w:t>您密码失密、操作不当、投资决策失误等原因可能会使您发生亏损；网上委托、热键操作完毕后</w:t>
      </w:r>
      <w:r>
        <w:rPr>
          <w:rFonts w:hint="eastAsia" w:ascii="微软雅黑" w:hAnsi="微软雅黑" w:eastAsia="微软雅黑"/>
          <w:szCs w:val="21"/>
        </w:rPr>
        <w:t>未</w:t>
      </w:r>
      <w:r>
        <w:rPr>
          <w:rFonts w:ascii="微软雅黑" w:hAnsi="微软雅黑" w:eastAsia="微软雅黑"/>
          <w:szCs w:val="21"/>
        </w:rPr>
        <w:t>及时退出，他人进行恶意操作而造成的损失</w:t>
      </w:r>
      <w:r>
        <w:rPr>
          <w:rFonts w:hint="eastAsia" w:ascii="微软雅黑" w:hAnsi="微软雅黑" w:eastAsia="微软雅黑"/>
          <w:szCs w:val="21"/>
        </w:rPr>
        <w:t>；</w:t>
      </w:r>
      <w:r>
        <w:rPr>
          <w:rFonts w:ascii="微软雅黑" w:hAnsi="微软雅黑" w:eastAsia="微软雅黑"/>
          <w:szCs w:val="21"/>
        </w:rPr>
        <w:t>委托他人代理证券交易，且长期不关注账户</w:t>
      </w:r>
      <w:r>
        <w:rPr>
          <w:rFonts w:hint="eastAsia" w:ascii="微软雅黑" w:hAnsi="微软雅黑" w:eastAsia="微软雅黑"/>
          <w:szCs w:val="21"/>
        </w:rPr>
        <w:t>变化</w:t>
      </w:r>
      <w:r>
        <w:rPr>
          <w:rFonts w:ascii="微软雅黑" w:hAnsi="微软雅黑" w:eastAsia="微软雅黑"/>
          <w:szCs w:val="21"/>
        </w:rPr>
        <w:t>，致使他人恶意操作而造成的损失，上述损失都</w:t>
      </w:r>
      <w:r>
        <w:rPr>
          <w:rFonts w:hint="eastAsia" w:ascii="微软雅黑" w:hAnsi="微软雅黑" w:eastAsia="微软雅黑"/>
          <w:szCs w:val="21"/>
        </w:rPr>
        <w:t>将</w:t>
      </w:r>
      <w:r>
        <w:rPr>
          <w:rFonts w:ascii="微软雅黑" w:hAnsi="微软雅黑" w:eastAsia="微软雅黑"/>
          <w:szCs w:val="21"/>
        </w:rPr>
        <w:t>由您自行承担。</w:t>
      </w:r>
      <w:r>
        <w:rPr>
          <w:rFonts w:hint="eastAsia" w:ascii="微软雅黑" w:hAnsi="微软雅黑" w:eastAsia="微软雅黑"/>
          <w:szCs w:val="21"/>
        </w:rPr>
        <w:t>在</w:t>
      </w:r>
      <w:r>
        <w:rPr>
          <w:rFonts w:ascii="微软雅黑" w:hAnsi="微软雅黑" w:eastAsia="微软雅黑"/>
          <w:szCs w:val="21"/>
        </w:rPr>
        <w:t>您进行</w:t>
      </w:r>
      <w:r>
        <w:rPr>
          <w:rFonts w:hint="eastAsia" w:ascii="微软雅黑" w:hAnsi="微软雅黑" w:eastAsia="微软雅黑"/>
          <w:szCs w:val="21"/>
        </w:rPr>
        <w:t>挂牌</w:t>
      </w:r>
      <w:r>
        <w:rPr>
          <w:rFonts w:ascii="微软雅黑" w:hAnsi="微软雅黑" w:eastAsia="微软雅黑"/>
          <w:szCs w:val="21"/>
        </w:rPr>
        <w:t>企业或证券产品</w:t>
      </w:r>
      <w:r>
        <w:rPr>
          <w:rFonts w:hint="eastAsia" w:ascii="微软雅黑" w:hAnsi="微软雅黑" w:eastAsia="微软雅黑"/>
          <w:szCs w:val="21"/>
        </w:rPr>
        <w:t>投资、</w:t>
      </w:r>
      <w:r>
        <w:rPr>
          <w:rFonts w:ascii="微软雅黑" w:hAnsi="微软雅黑" w:eastAsia="微软雅黑"/>
          <w:szCs w:val="21"/>
        </w:rPr>
        <w:t>交易时，他人给予您的保证获利或不会发生亏损的任何承诺都是没有根据的，类似</w:t>
      </w:r>
      <w:r>
        <w:rPr>
          <w:rFonts w:hint="eastAsia" w:ascii="微软雅黑" w:hAnsi="微软雅黑" w:eastAsia="微软雅黑"/>
          <w:szCs w:val="21"/>
        </w:rPr>
        <w:t>的</w:t>
      </w:r>
      <w:r>
        <w:rPr>
          <w:rFonts w:ascii="微软雅黑" w:hAnsi="微软雅黑" w:eastAsia="微软雅黑"/>
          <w:szCs w:val="21"/>
        </w:rPr>
        <w:t>承诺不会减少您发生亏损的可能。</w:t>
      </w:r>
    </w:p>
    <w:p>
      <w:pPr>
        <w:ind w:firstLine="420" w:firstLineChars="200"/>
        <w:rPr>
          <w:rFonts w:ascii="微软雅黑" w:hAnsi="微软雅黑" w:eastAsia="微软雅黑"/>
          <w:szCs w:val="21"/>
        </w:rPr>
      </w:pPr>
    </w:p>
    <w:p>
      <w:pPr>
        <w:ind w:firstLine="420" w:firstLineChars="200"/>
        <w:rPr>
          <w:rFonts w:ascii="微软雅黑" w:hAnsi="微软雅黑" w:eastAsia="微软雅黑"/>
          <w:szCs w:val="21"/>
        </w:rPr>
      </w:pPr>
      <w:r>
        <w:rPr>
          <w:rFonts w:hint="eastAsia" w:ascii="微软雅黑" w:hAnsi="微软雅黑" w:eastAsia="微软雅黑"/>
          <w:szCs w:val="21"/>
        </w:rPr>
        <w:t>本</w:t>
      </w:r>
      <w:r>
        <w:rPr>
          <w:rFonts w:ascii="微软雅黑" w:hAnsi="微软雅黑" w:eastAsia="微软雅黑"/>
          <w:szCs w:val="21"/>
        </w:rPr>
        <w:t>风险揭示书并不保证</w:t>
      </w:r>
      <w:r>
        <w:rPr>
          <w:rFonts w:hint="eastAsia" w:ascii="微软雅黑" w:hAnsi="微软雅黑" w:eastAsia="微软雅黑"/>
          <w:szCs w:val="21"/>
        </w:rPr>
        <w:t>揭示挂牌</w:t>
      </w:r>
      <w:r>
        <w:rPr>
          <w:rFonts w:ascii="微软雅黑" w:hAnsi="微软雅黑" w:eastAsia="微软雅黑"/>
          <w:szCs w:val="21"/>
        </w:rPr>
        <w:t>企业</w:t>
      </w:r>
      <w:r>
        <w:rPr>
          <w:rFonts w:hint="eastAsia" w:ascii="微软雅黑" w:hAnsi="微软雅黑" w:eastAsia="微软雅黑"/>
          <w:szCs w:val="21"/>
        </w:rPr>
        <w:t>、</w:t>
      </w:r>
      <w:r>
        <w:rPr>
          <w:rFonts w:ascii="微软雅黑" w:hAnsi="微软雅黑" w:eastAsia="微软雅黑"/>
          <w:szCs w:val="21"/>
        </w:rPr>
        <w:t>证券产品</w:t>
      </w:r>
      <w:r>
        <w:rPr>
          <w:rFonts w:hint="eastAsia" w:ascii="微软雅黑" w:hAnsi="微软雅黑" w:eastAsia="微软雅黑"/>
          <w:szCs w:val="21"/>
        </w:rPr>
        <w:t>和</w:t>
      </w:r>
      <w:r>
        <w:rPr>
          <w:rFonts w:ascii="微软雅黑" w:hAnsi="微软雅黑" w:eastAsia="微软雅黑"/>
          <w:szCs w:val="21"/>
        </w:rPr>
        <w:t>权益类产品投资</w:t>
      </w:r>
      <w:r>
        <w:rPr>
          <w:rFonts w:hint="eastAsia" w:ascii="微软雅黑" w:hAnsi="微软雅黑" w:eastAsia="微软雅黑"/>
          <w:szCs w:val="21"/>
        </w:rPr>
        <w:t>、</w:t>
      </w:r>
      <w:r>
        <w:rPr>
          <w:rFonts w:ascii="微软雅黑" w:hAnsi="微软雅黑" w:eastAsia="微软雅黑"/>
          <w:szCs w:val="21"/>
        </w:rPr>
        <w:t>交易业务的全部投资</w:t>
      </w:r>
      <w:r>
        <w:rPr>
          <w:rFonts w:hint="eastAsia" w:ascii="微软雅黑" w:hAnsi="微软雅黑" w:eastAsia="微软雅黑"/>
          <w:szCs w:val="21"/>
        </w:rPr>
        <w:t>风险</w:t>
      </w:r>
      <w:r>
        <w:rPr>
          <w:rFonts w:ascii="微软雅黑" w:hAnsi="微软雅黑" w:eastAsia="微软雅黑"/>
          <w:szCs w:val="21"/>
        </w:rPr>
        <w:t>。故</w:t>
      </w:r>
      <w:r>
        <w:rPr>
          <w:rFonts w:hint="eastAsia" w:ascii="微软雅黑" w:hAnsi="微软雅黑" w:eastAsia="微软雅黑"/>
          <w:szCs w:val="21"/>
        </w:rPr>
        <w:t>您</w:t>
      </w:r>
      <w:r>
        <w:rPr>
          <w:rFonts w:ascii="微软雅黑" w:hAnsi="微软雅黑" w:eastAsia="微软雅黑"/>
          <w:szCs w:val="21"/>
        </w:rPr>
        <w:t>在参与相关业务前，应全面了解相关法律法规，认真阅读天府股交中心相关</w:t>
      </w:r>
      <w:r>
        <w:rPr>
          <w:rFonts w:hint="eastAsia" w:ascii="微软雅黑" w:hAnsi="微软雅黑" w:eastAsia="微软雅黑"/>
          <w:szCs w:val="21"/>
        </w:rPr>
        <w:t>规则</w:t>
      </w:r>
      <w:r>
        <w:rPr>
          <w:rFonts w:ascii="微软雅黑" w:hAnsi="微软雅黑" w:eastAsia="微软雅黑"/>
          <w:szCs w:val="21"/>
        </w:rPr>
        <w:t>，</w:t>
      </w:r>
      <w:r>
        <w:rPr>
          <w:rFonts w:hint="eastAsia" w:ascii="微软雅黑" w:hAnsi="微软雅黑" w:eastAsia="微软雅黑"/>
          <w:szCs w:val="21"/>
        </w:rPr>
        <w:t>并根据自身的投资目的、投资期限、投资经验、资产状况等判断是否具备相应的投资风险承受能力。</w:t>
      </w:r>
    </w:p>
    <w:p>
      <w:pPr>
        <w:ind w:firstLine="420" w:firstLineChars="200"/>
        <w:rPr>
          <w:rFonts w:ascii="微软雅黑" w:hAnsi="微软雅黑" w:eastAsia="微软雅黑"/>
          <w:szCs w:val="21"/>
        </w:rPr>
      </w:pPr>
    </w:p>
    <w:p>
      <w:pPr>
        <w:ind w:firstLine="480" w:firstLineChars="200"/>
        <w:rPr>
          <w:rFonts w:ascii="微软雅黑" w:hAnsi="微软雅黑" w:eastAsia="微软雅黑"/>
          <w:b/>
          <w:bCs/>
          <w:sz w:val="24"/>
          <w:szCs w:val="24"/>
          <w:u w:val="single"/>
        </w:rPr>
      </w:pPr>
      <w:r>
        <w:rPr>
          <w:rFonts w:hint="eastAsia" w:ascii="微软雅黑" w:hAnsi="微软雅黑" w:eastAsia="微软雅黑"/>
          <w:b/>
          <w:bCs/>
          <w:sz w:val="24"/>
          <w:szCs w:val="24"/>
          <w:u w:val="single"/>
        </w:rPr>
        <w:t>本人已认真阅读本</w:t>
      </w:r>
      <w:r>
        <w:rPr>
          <w:rFonts w:ascii="微软雅黑" w:hAnsi="微软雅黑" w:eastAsia="微软雅黑"/>
          <w:b/>
          <w:bCs/>
          <w:sz w:val="24"/>
          <w:szCs w:val="24"/>
          <w:u w:val="single"/>
        </w:rPr>
        <w:t>投资</w:t>
      </w:r>
      <w:r>
        <w:rPr>
          <w:rFonts w:hint="eastAsia" w:ascii="微软雅黑" w:hAnsi="微软雅黑" w:eastAsia="微软雅黑"/>
          <w:b/>
          <w:bCs/>
          <w:sz w:val="24"/>
          <w:szCs w:val="24"/>
          <w:u w:val="single"/>
        </w:rPr>
        <w:t>风险揭示书，并</w:t>
      </w:r>
      <w:r>
        <w:rPr>
          <w:rFonts w:ascii="微软雅黑" w:hAnsi="微软雅黑" w:eastAsia="微软雅黑"/>
          <w:b/>
          <w:bCs/>
          <w:sz w:val="24"/>
          <w:szCs w:val="24"/>
          <w:u w:val="single"/>
        </w:rPr>
        <w:t>充分</w:t>
      </w:r>
      <w:r>
        <w:rPr>
          <w:rFonts w:hint="eastAsia" w:ascii="微软雅黑" w:hAnsi="微软雅黑" w:eastAsia="微软雅黑"/>
          <w:b/>
          <w:bCs/>
          <w:sz w:val="24"/>
          <w:szCs w:val="24"/>
          <w:u w:val="single"/>
        </w:rPr>
        <w:t>理解所揭示的所有风险，自愿承担投资风险造成的一切损失。</w:t>
      </w:r>
    </w:p>
    <w:p>
      <w:pPr>
        <w:ind w:firstLine="420" w:firstLineChars="200"/>
        <w:rPr>
          <w:rFonts w:asciiTheme="minorEastAsia" w:hAnsiTheme="minorEastAsia"/>
          <w:sz w:val="28"/>
          <w:szCs w:val="28"/>
          <w:u w:val="single"/>
        </w:rPr>
      </w:pPr>
      <w:r>
        <w:rPr>
          <w:rFonts w:hint="eastAsia" w:ascii="微软雅黑" w:hAnsi="微软雅黑" w:eastAsia="微软雅黑"/>
          <w:szCs w:val="21"/>
        </w:rPr>
        <w:t>请抄写</w:t>
      </w:r>
      <w:r>
        <w:rPr>
          <w:rFonts w:ascii="微软雅黑" w:hAnsi="微软雅黑" w:eastAsia="微软雅黑"/>
          <w:szCs w:val="21"/>
        </w:rPr>
        <w:t>上述</w:t>
      </w:r>
      <w:r>
        <w:rPr>
          <w:rFonts w:hint="eastAsia" w:ascii="微软雅黑" w:hAnsi="微软雅黑" w:eastAsia="微软雅黑"/>
          <w:szCs w:val="21"/>
        </w:rPr>
        <w:t>带</w:t>
      </w:r>
      <w:r>
        <w:rPr>
          <w:rFonts w:ascii="微软雅黑" w:hAnsi="微软雅黑" w:eastAsia="微软雅黑"/>
          <w:szCs w:val="21"/>
        </w:rPr>
        <w:t>横线的文字：</w:t>
      </w:r>
      <w:r>
        <w:rPr>
          <w:rFonts w:hint="eastAsia" w:ascii="微软雅黑" w:hAnsi="微软雅黑" w:eastAsia="微软雅黑"/>
          <w:szCs w:val="21"/>
        </w:rPr>
        <w:t xml:space="preserve"> </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p>
    <w:p>
      <w:pPr>
        <w:rPr>
          <w:rFonts w:asciiTheme="minorEastAsia" w:hAnsiTheme="minorEastAsia"/>
          <w:sz w:val="28"/>
          <w:szCs w:val="28"/>
          <w:u w:val="single"/>
        </w:rPr>
      </w:pP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p>
    <w:p>
      <w:pPr>
        <w:rPr>
          <w:rFonts w:asciiTheme="minorEastAsia" w:hAnsiTheme="minorEastAsia"/>
          <w:sz w:val="28"/>
          <w:szCs w:val="28"/>
          <w:u w:val="single"/>
        </w:rPr>
      </w:pP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rPr>
        <w:t>。</w:t>
      </w:r>
    </w:p>
    <w:p>
      <w:pPr>
        <w:ind w:firstLine="2814" w:firstLineChars="1005"/>
        <w:rPr>
          <w:rFonts w:asciiTheme="minorEastAsia" w:hAnsiTheme="minorEastAsia"/>
          <w:sz w:val="28"/>
          <w:szCs w:val="28"/>
        </w:rPr>
      </w:pPr>
    </w:p>
    <w:p>
      <w:pPr>
        <w:ind w:firstLine="3265" w:firstLineChars="1555"/>
        <w:rPr>
          <w:rFonts w:asciiTheme="minorEastAsia" w:hAnsiTheme="minorEastAsia"/>
          <w:sz w:val="28"/>
          <w:szCs w:val="28"/>
          <w:u w:val="single"/>
        </w:rPr>
      </w:pPr>
      <w:r>
        <w:rPr>
          <w:rFonts w:hint="eastAsia" w:ascii="微软雅黑" w:hAnsi="微软雅黑" w:eastAsia="微软雅黑"/>
          <w:szCs w:val="21"/>
        </w:rPr>
        <w:t>投资者确认签字：</w:t>
      </w:r>
      <w:r>
        <w:rPr>
          <w:rFonts w:hint="eastAsia" w:asciiTheme="minorEastAsia" w:hAnsiTheme="minorEastAsia"/>
          <w:sz w:val="28"/>
          <w:szCs w:val="28"/>
          <w:u w:val="single"/>
        </w:rPr>
        <w:t xml:space="preserve">                     </w:t>
      </w:r>
    </w:p>
    <w:p>
      <w:pPr>
        <w:ind w:firstLine="3265" w:firstLineChars="1555"/>
        <w:rPr>
          <w:rFonts w:asciiTheme="minorEastAsia" w:hAnsiTheme="minorEastAsia"/>
          <w:sz w:val="28"/>
          <w:szCs w:val="28"/>
          <w:u w:val="single"/>
        </w:rPr>
      </w:pPr>
      <w:r>
        <w:rPr>
          <w:rFonts w:hint="eastAsia" w:ascii="微软雅黑" w:hAnsi="微软雅黑" w:eastAsia="微软雅黑"/>
          <w:szCs w:val="21"/>
        </w:rPr>
        <w:t>代办人确认</w:t>
      </w:r>
      <w:r>
        <w:rPr>
          <w:rFonts w:ascii="微软雅黑" w:hAnsi="微软雅黑" w:eastAsia="微软雅黑"/>
          <w:szCs w:val="21"/>
        </w:rPr>
        <w:t>签字</w:t>
      </w:r>
      <w:r>
        <w:rPr>
          <w:rFonts w:hint="eastAsia" w:ascii="微软雅黑" w:hAnsi="微软雅黑" w:eastAsia="微软雅黑"/>
          <w:szCs w:val="21"/>
        </w:rPr>
        <w:t>：</w:t>
      </w:r>
      <w:r>
        <w:rPr>
          <w:rFonts w:hint="eastAsia" w:asciiTheme="minorEastAsia" w:hAnsiTheme="minorEastAsia"/>
          <w:sz w:val="28"/>
          <w:szCs w:val="28"/>
          <w:u w:val="single"/>
        </w:rPr>
        <w:t xml:space="preserve">                     </w:t>
      </w:r>
    </w:p>
    <w:p>
      <w:pPr>
        <w:ind w:firstLine="3990" w:firstLineChars="1900"/>
        <w:rPr>
          <w:rFonts w:ascii="微软雅黑" w:hAnsi="微软雅黑" w:eastAsia="微软雅黑"/>
          <w:szCs w:val="21"/>
        </w:rPr>
      </w:pPr>
      <w:r>
        <w:rPr>
          <w:rFonts w:hint="eastAsia" w:ascii="微软雅黑" w:hAnsi="微软雅黑" w:eastAsia="微软雅黑"/>
          <w:szCs w:val="21"/>
        </w:rPr>
        <w:t>签署</w:t>
      </w:r>
      <w:r>
        <w:rPr>
          <w:rFonts w:ascii="微软雅黑" w:hAnsi="微软雅黑" w:eastAsia="微软雅黑"/>
          <w:szCs w:val="21"/>
        </w:rPr>
        <w:t>日期：</w:t>
      </w:r>
      <w:r>
        <w:rPr>
          <w:rFonts w:hint="eastAsia" w:ascii="微软雅黑" w:hAnsi="微软雅黑" w:eastAsia="微软雅黑"/>
          <w:szCs w:val="21"/>
        </w:rPr>
        <w:t xml:space="preserve">    年     月     日</w:t>
      </w:r>
    </w:p>
    <w:p>
      <w:pPr>
        <w:ind w:firstLine="4210" w:firstLineChars="2005"/>
        <w:rPr>
          <w:rFonts w:ascii="微软雅黑" w:hAnsi="微软雅黑" w:eastAsia="微软雅黑"/>
          <w:szCs w:val="21"/>
        </w:rPr>
      </w:pPr>
    </w:p>
    <w:p>
      <w:pPr>
        <w:ind w:firstLine="4210" w:firstLineChars="2005"/>
        <w:rPr>
          <w:rFonts w:ascii="微软雅黑" w:hAnsi="微软雅黑" w:eastAsia="微软雅黑"/>
          <w:szCs w:val="21"/>
        </w:rPr>
      </w:pPr>
    </w:p>
    <w:p>
      <w:pPr>
        <w:ind w:firstLine="4210" w:firstLineChars="2005"/>
        <w:rPr>
          <w:rFonts w:ascii="微软雅黑" w:hAnsi="微软雅黑" w:eastAsia="微软雅黑"/>
          <w:szCs w:val="21"/>
        </w:rPr>
      </w:pPr>
    </w:p>
    <w:p>
      <w:pPr>
        <w:ind w:firstLine="4210" w:firstLineChars="2005"/>
        <w:rPr>
          <w:rFonts w:ascii="微软雅黑" w:hAnsi="微软雅黑" w:eastAsia="微软雅黑"/>
          <w:szCs w:val="21"/>
        </w:rPr>
      </w:pPr>
    </w:p>
    <w:p>
      <w:pPr>
        <w:ind w:firstLine="4210" w:firstLineChars="2005"/>
        <w:rPr>
          <w:rFonts w:ascii="微软雅黑" w:hAnsi="微软雅黑" w:eastAsia="微软雅黑"/>
          <w:szCs w:val="21"/>
        </w:rPr>
      </w:pPr>
    </w:p>
    <w:p>
      <w:pPr>
        <w:ind w:firstLine="4210" w:firstLineChars="2005"/>
        <w:rPr>
          <w:rFonts w:ascii="微软雅黑" w:hAnsi="微软雅黑" w:eastAsia="微软雅黑"/>
          <w:szCs w:val="21"/>
        </w:rPr>
      </w:pPr>
    </w:p>
    <w:p>
      <w:pPr>
        <w:ind w:firstLine="4210" w:firstLineChars="2005"/>
        <w:rPr>
          <w:rFonts w:ascii="微软雅黑" w:hAnsi="微软雅黑" w:eastAsia="微软雅黑"/>
          <w:szCs w:val="21"/>
        </w:rPr>
      </w:pPr>
    </w:p>
    <w:p>
      <w:pPr>
        <w:ind w:firstLine="4210" w:firstLineChars="2005"/>
        <w:rPr>
          <w:rFonts w:ascii="微软雅黑" w:hAnsi="微软雅黑" w:eastAsia="微软雅黑"/>
          <w:szCs w:val="21"/>
        </w:rPr>
      </w:pPr>
    </w:p>
    <w:p>
      <w:pPr>
        <w:rPr>
          <w:rFonts w:ascii="仿宋" w:hAnsi="仿宋" w:eastAsia="仿宋" w:cs="仿宋"/>
          <w:sz w:val="28"/>
          <w:szCs w:val="28"/>
        </w:rPr>
      </w:pPr>
    </w:p>
    <w:p>
      <w:pPr>
        <w:rPr>
          <w:rFonts w:ascii="仿宋" w:hAnsi="仿宋" w:eastAsia="仿宋" w:cs="仿宋"/>
          <w:sz w:val="28"/>
          <w:szCs w:val="28"/>
        </w:rPr>
      </w:pPr>
    </w:p>
    <w:p>
      <w:pPr>
        <w:jc w:val="center"/>
        <w:rPr>
          <w:rFonts w:ascii="微软雅黑" w:hAnsi="微软雅黑" w:eastAsia="微软雅黑"/>
          <w:b/>
          <w:sz w:val="36"/>
          <w:szCs w:val="36"/>
        </w:rPr>
      </w:pPr>
      <w:r>
        <w:rPr>
          <w:rFonts w:hint="eastAsia" w:ascii="微软雅黑" w:hAnsi="微软雅黑" w:eastAsia="微软雅黑"/>
          <w:b/>
          <w:sz w:val="36"/>
          <w:szCs w:val="36"/>
        </w:rPr>
        <w:t>投资者账户业务办理须知</w:t>
      </w:r>
    </w:p>
    <w:p>
      <w:pPr>
        <w:spacing w:line="530" w:lineRule="exact"/>
        <w:ind w:firstLine="420" w:firstLineChars="200"/>
        <w:jc w:val="left"/>
        <w:rPr>
          <w:rFonts w:ascii="微软雅黑" w:hAnsi="微软雅黑" w:eastAsia="微软雅黑"/>
          <w:szCs w:val="21"/>
        </w:rPr>
      </w:pPr>
      <w:r>
        <w:rPr>
          <w:rFonts w:hint="eastAsia" w:ascii="微软雅黑" w:hAnsi="微软雅黑" w:eastAsia="微软雅黑"/>
          <w:szCs w:val="21"/>
        </w:rPr>
        <w:t xml:space="preserve">1、天府（四川）联合股权交易中心股份有限公司（以下简称“本中心”）及其委托的开户代理机构，负责为投资者开立投资者账户，用于记录投资者账户持有人的证券、证券衍生品种及其他权益类产品持有及其变动情况，并提供投资者账户查询、变更、注销、关联关系等账户业务服务。 </w:t>
      </w:r>
      <w:r>
        <w:rPr>
          <w:rFonts w:hint="eastAsia" w:ascii="微软雅黑" w:hAnsi="微软雅黑" w:eastAsia="微软雅黑"/>
          <w:szCs w:val="21"/>
        </w:rPr>
        <w:br w:type="textWrapping"/>
      </w:r>
      <w:r>
        <w:rPr>
          <w:rFonts w:hint="eastAsia" w:ascii="微软雅黑" w:hAnsi="微软雅黑" w:eastAsia="微软雅黑"/>
          <w:szCs w:val="21"/>
        </w:rPr>
        <w:t xml:space="preserve">    2、投资者承诺具有合法的证券、证券衍生品种及其他权益类产品投资资格，不存在法律、法规、规章以及本中心相关业务规则禁止或限制其投资相关产品的情形。</w:t>
      </w:r>
    </w:p>
    <w:p>
      <w:pPr>
        <w:spacing w:line="530" w:lineRule="exact"/>
        <w:ind w:firstLine="420" w:firstLineChars="200"/>
        <w:jc w:val="left"/>
        <w:rPr>
          <w:rFonts w:ascii="微软雅黑" w:hAnsi="微软雅黑" w:eastAsia="微软雅黑"/>
          <w:szCs w:val="21"/>
        </w:rPr>
      </w:pPr>
      <w:r>
        <w:rPr>
          <w:rFonts w:hint="eastAsia" w:ascii="微软雅黑" w:hAnsi="微软雅黑" w:eastAsia="微软雅黑"/>
          <w:szCs w:val="21"/>
        </w:rPr>
        <w:t xml:space="preserve">3、投资者开立和使用投资者账户应当遵守国家有关法律法规、行政规章以及本中心《投资者账户管理规则》及相关自律规则等有关规定。投资者在申请开立投资者账户前，应当仔细阅读本须知、风险揭示书及业务申请表等开户文件。投资者签署业务申请表等开户文件后，表示其已经认真阅读并同意接受签署的开户文件条款，并承诺遵守本中心的相关管理制度。对于拒绝签署开户文件的投资者，本中心或其委托的开户代理机构拒绝为其开立投资者账户。 </w:t>
      </w:r>
      <w:r>
        <w:rPr>
          <w:rFonts w:hint="eastAsia" w:ascii="微软雅黑" w:hAnsi="微软雅黑" w:eastAsia="微软雅黑"/>
          <w:szCs w:val="21"/>
        </w:rPr>
        <w:br w:type="textWrapping"/>
      </w:r>
      <w:r>
        <w:rPr>
          <w:rFonts w:hint="eastAsia" w:ascii="微软雅黑" w:hAnsi="微软雅黑" w:eastAsia="微软雅黑"/>
          <w:szCs w:val="21"/>
        </w:rPr>
        <w:t xml:space="preserve">    4、本中心及其委托的开户代理机构对投资者所提供的开户申请材料进行形式审核，并不表明对投资者所提供的业务申请材料作出真实性判断或者保证。</w:t>
      </w:r>
    </w:p>
    <w:p>
      <w:pPr>
        <w:spacing w:line="530" w:lineRule="exact"/>
        <w:ind w:firstLine="420" w:firstLineChars="200"/>
        <w:jc w:val="left"/>
        <w:rPr>
          <w:rFonts w:ascii="微软雅黑" w:hAnsi="微软雅黑" w:eastAsia="微软雅黑"/>
          <w:b/>
          <w:szCs w:val="21"/>
        </w:rPr>
      </w:pPr>
      <w:r>
        <w:rPr>
          <w:rFonts w:hint="eastAsia" w:ascii="微软雅黑" w:hAnsi="微软雅黑" w:eastAsia="微软雅黑"/>
          <w:szCs w:val="21"/>
        </w:rPr>
        <w:t>5、</w:t>
      </w:r>
      <w:r>
        <w:rPr>
          <w:rFonts w:hint="eastAsia" w:ascii="微软雅黑" w:hAnsi="微软雅黑" w:eastAsia="微软雅黑"/>
          <w:b/>
          <w:szCs w:val="21"/>
        </w:rPr>
        <w:t>投资者应当以本人名义开立投资者账户，不得冒用他人名义或利用虚假证件开立投资者账户。</w:t>
      </w:r>
      <w:r>
        <w:rPr>
          <w:rFonts w:hint="eastAsia" w:ascii="微软雅黑" w:hAnsi="微软雅黑" w:eastAsia="微软雅黑"/>
          <w:szCs w:val="21"/>
        </w:rPr>
        <w:t>投资者提交开户申请时，应当提供真实、准确、完整、有效的开户信息及申请材料，并对所有证件及材料的真实性、准确性、完整性、有效性负责。投资者应对本中心或开户代理机构录入的投资者账户信息予以确认并对确认结果负责。</w:t>
      </w:r>
      <w:r>
        <w:rPr>
          <w:rFonts w:hint="eastAsia" w:ascii="微软雅黑" w:hAnsi="微软雅黑" w:eastAsia="微软雅黑"/>
          <w:b/>
          <w:szCs w:val="21"/>
        </w:rPr>
        <w:t>投资者因违规开立投资者账户导致的相应经济损失和法律责任由其本人承担。</w:t>
      </w:r>
      <w:r>
        <w:rPr>
          <w:rFonts w:hint="eastAsia" w:ascii="微软雅黑" w:hAnsi="微软雅黑" w:eastAsia="微软雅黑"/>
          <w:b/>
          <w:szCs w:val="21"/>
        </w:rPr>
        <w:br w:type="textWrapping"/>
      </w:r>
      <w:r>
        <w:rPr>
          <w:rFonts w:hint="eastAsia" w:cs="Times New Roman" w:asciiTheme="minorEastAsia" w:hAnsiTheme="minorEastAsia"/>
          <w:b/>
          <w:sz w:val="24"/>
          <w:szCs w:val="24"/>
        </w:rPr>
        <w:t xml:space="preserve">    </w:t>
      </w:r>
      <w:r>
        <w:rPr>
          <w:rFonts w:hint="eastAsia" w:ascii="微软雅黑" w:hAnsi="微软雅黑" w:eastAsia="微软雅黑"/>
          <w:b/>
          <w:szCs w:val="21"/>
        </w:rPr>
        <w:t>6、投资者应当使用以本人名义开立的账户，不得使用他人投资者账户或使用以虚假身份开立的投资者账户，不得将本人投资者账户提供给他人使用。本中心及其委托的开户代理机构有权通过调查、回访等方式了解投资者账户使用情况，投资者应积极配合，提供核实账户使用情况的必要资料。为确保账户安全，对于发现或有合理怀疑存在投资者非实名使用账户并涉及违法违规行为的，本中心及其委托的开户代理机构有权暂停为其提供相关账户服务，直至核查完成。投资者因不配合调查回访、违规使用投资者账户导致的相应经济损失和法律责任由其本人承担。</w:t>
      </w:r>
    </w:p>
    <w:p>
      <w:pPr>
        <w:spacing w:line="530" w:lineRule="exact"/>
        <w:ind w:firstLine="420" w:firstLineChars="200"/>
        <w:jc w:val="left"/>
        <w:rPr>
          <w:rFonts w:ascii="微软雅黑" w:hAnsi="微软雅黑" w:eastAsia="微软雅黑"/>
          <w:szCs w:val="21"/>
        </w:rPr>
      </w:pPr>
      <w:r>
        <w:rPr>
          <w:rFonts w:hint="eastAsia" w:ascii="微软雅黑" w:hAnsi="微软雅黑" w:eastAsia="微软雅黑"/>
          <w:szCs w:val="21"/>
        </w:rPr>
        <w:t>7、本中心或本中心指定的代理买卖机构接受投资者</w:t>
      </w:r>
      <w:r>
        <w:rPr>
          <w:rFonts w:ascii="微软雅黑" w:hAnsi="微软雅黑" w:eastAsia="微软雅黑"/>
          <w:szCs w:val="21"/>
        </w:rPr>
        <w:t>委托，</w:t>
      </w:r>
      <w:r>
        <w:rPr>
          <w:rFonts w:hint="eastAsia" w:ascii="微软雅黑" w:hAnsi="微软雅黑" w:eastAsia="微软雅黑"/>
          <w:szCs w:val="21"/>
        </w:rPr>
        <w:t>执行投资者下达的合法有效的委托指令，代理投资者进行资金、证券、证券衍生品种及其他权益类产品的清算交收，并接受投资者对其委托、成交记录及账户内的证券、证券衍生品种及其他权益类产品资产及变化情况的查询。</w:t>
      </w:r>
    </w:p>
    <w:p>
      <w:pPr>
        <w:spacing w:line="530" w:lineRule="exact"/>
        <w:ind w:firstLine="420" w:firstLineChars="200"/>
        <w:jc w:val="left"/>
        <w:rPr>
          <w:rFonts w:ascii="微软雅黑" w:hAnsi="微软雅黑" w:eastAsia="微软雅黑"/>
          <w:szCs w:val="21"/>
        </w:rPr>
      </w:pPr>
      <w:r>
        <w:rPr>
          <w:rFonts w:ascii="微软雅黑" w:hAnsi="微软雅黑" w:eastAsia="微软雅黑"/>
          <w:szCs w:val="21"/>
        </w:rPr>
        <w:t>8</w:t>
      </w:r>
      <w:r>
        <w:rPr>
          <w:rFonts w:hint="eastAsia" w:ascii="微软雅黑" w:hAnsi="微软雅黑" w:eastAsia="微软雅黑"/>
          <w:szCs w:val="21"/>
        </w:rPr>
        <w:t>、投资者采取的委托交易方式包括柜台委托及自助委托等，自助委托包括网上委托以及本中心认可的其他合法委托方式。投资者</w:t>
      </w:r>
      <w:r>
        <w:rPr>
          <w:rFonts w:ascii="微软雅黑" w:hAnsi="微软雅黑" w:eastAsia="微软雅黑"/>
          <w:szCs w:val="21"/>
        </w:rPr>
        <w:t>通过自助委托系统下达的委托指令，以</w:t>
      </w:r>
      <w:r>
        <w:rPr>
          <w:rFonts w:hint="eastAsia" w:ascii="微软雅黑" w:hAnsi="微软雅黑" w:eastAsia="微软雅黑"/>
          <w:szCs w:val="21"/>
        </w:rPr>
        <w:t>本中心</w:t>
      </w:r>
      <w:r>
        <w:rPr>
          <w:rFonts w:ascii="微软雅黑" w:hAnsi="微软雅黑" w:eastAsia="微软雅黑"/>
          <w:szCs w:val="21"/>
        </w:rPr>
        <w:t>电脑数据为准</w:t>
      </w:r>
      <w:r>
        <w:rPr>
          <w:rFonts w:hint="eastAsia" w:ascii="微软雅黑" w:hAnsi="微软雅黑" w:eastAsia="微软雅黑"/>
          <w:szCs w:val="21"/>
        </w:rPr>
        <w:t>；</w:t>
      </w:r>
      <w:r>
        <w:rPr>
          <w:rFonts w:ascii="微软雅黑" w:hAnsi="微软雅黑" w:eastAsia="微软雅黑"/>
          <w:szCs w:val="21"/>
        </w:rPr>
        <w:t>柜台委托以</w:t>
      </w:r>
      <w:r>
        <w:rPr>
          <w:rFonts w:hint="eastAsia" w:ascii="微软雅黑" w:hAnsi="微软雅黑" w:eastAsia="微软雅黑"/>
          <w:szCs w:val="21"/>
        </w:rPr>
        <w:t>投资者</w:t>
      </w:r>
      <w:r>
        <w:rPr>
          <w:rFonts w:ascii="微软雅黑" w:hAnsi="微软雅黑" w:eastAsia="微软雅黑"/>
          <w:szCs w:val="21"/>
        </w:rPr>
        <w:t>签字确认的委托凭证为准；</w:t>
      </w:r>
      <w:r>
        <w:rPr>
          <w:rFonts w:hint="eastAsia" w:ascii="微软雅黑" w:hAnsi="微软雅黑" w:eastAsia="微软雅黑"/>
          <w:szCs w:val="21"/>
        </w:rPr>
        <w:t>投资者</w:t>
      </w:r>
      <w:r>
        <w:rPr>
          <w:rFonts w:ascii="微软雅黑" w:hAnsi="微软雅黑" w:eastAsia="微软雅黑"/>
          <w:szCs w:val="21"/>
        </w:rPr>
        <w:t>以电话语音、传真、</w:t>
      </w:r>
      <w:r>
        <w:rPr>
          <w:rFonts w:hint="eastAsia" w:ascii="微软雅黑" w:hAnsi="微软雅黑" w:eastAsia="微软雅黑"/>
          <w:szCs w:val="21"/>
        </w:rPr>
        <w:t>信函</w:t>
      </w:r>
      <w:r>
        <w:rPr>
          <w:rFonts w:ascii="微软雅黑" w:hAnsi="微软雅黑" w:eastAsia="微软雅黑"/>
          <w:szCs w:val="21"/>
        </w:rPr>
        <w:t>下达的委托指令，如</w:t>
      </w:r>
      <w:r>
        <w:rPr>
          <w:rFonts w:hint="eastAsia" w:ascii="微软雅黑" w:hAnsi="微软雅黑" w:eastAsia="微软雅黑"/>
          <w:szCs w:val="21"/>
        </w:rPr>
        <w:t>本中心</w:t>
      </w:r>
      <w:r>
        <w:rPr>
          <w:rFonts w:ascii="微软雅黑" w:hAnsi="微软雅黑" w:eastAsia="微软雅黑"/>
          <w:szCs w:val="21"/>
        </w:rPr>
        <w:t>无法确认，将不作为对</w:t>
      </w:r>
      <w:r>
        <w:rPr>
          <w:rFonts w:hint="eastAsia" w:ascii="微软雅黑" w:hAnsi="微软雅黑" w:eastAsia="微软雅黑"/>
          <w:szCs w:val="21"/>
        </w:rPr>
        <w:t>本中心</w:t>
      </w:r>
      <w:r>
        <w:rPr>
          <w:rFonts w:ascii="微软雅黑" w:hAnsi="微软雅黑" w:eastAsia="微软雅黑"/>
          <w:szCs w:val="21"/>
        </w:rPr>
        <w:t>的有效指令；</w:t>
      </w:r>
      <w:r>
        <w:rPr>
          <w:rFonts w:hint="eastAsia" w:ascii="微软雅黑" w:hAnsi="微软雅黑" w:eastAsia="微软雅黑"/>
          <w:szCs w:val="21"/>
        </w:rPr>
        <w:t>投资者</w:t>
      </w:r>
      <w:r>
        <w:rPr>
          <w:rFonts w:ascii="微软雅黑" w:hAnsi="微软雅黑" w:eastAsia="微软雅黑"/>
          <w:szCs w:val="21"/>
        </w:rPr>
        <w:t>对其委托行为所产生的一切经济和法律后果承担全部责任。</w:t>
      </w:r>
    </w:p>
    <w:p>
      <w:pPr>
        <w:spacing w:line="530" w:lineRule="exact"/>
        <w:ind w:firstLine="420" w:firstLineChars="200"/>
        <w:jc w:val="left"/>
        <w:rPr>
          <w:rFonts w:ascii="微软雅黑" w:hAnsi="微软雅黑" w:eastAsia="微软雅黑"/>
          <w:szCs w:val="21"/>
        </w:rPr>
      </w:pPr>
      <w:r>
        <w:rPr>
          <w:rFonts w:ascii="微软雅黑" w:hAnsi="微软雅黑" w:eastAsia="微软雅黑"/>
          <w:szCs w:val="21"/>
        </w:rPr>
        <w:t>9</w:t>
      </w:r>
      <w:r>
        <w:rPr>
          <w:rFonts w:hint="eastAsia" w:ascii="微软雅黑" w:hAnsi="微软雅黑" w:eastAsia="微软雅黑"/>
          <w:szCs w:val="21"/>
        </w:rPr>
        <w:t>、投资者进行柜台委托时，必须提供本人有效身份证件，并填写委托单。否则，本中心或本中心指定的代理买卖机构有权拒绝受理投资者的委托，由此造成的后果由投资者承担。投资者在使用非柜台委托方式进行交易时，必须严格按照本中心交易系统的提示进行操作，因投资者操作失误造成的损失由投资者自行承担。对本中心交易系统拒绝受理的委托，均视为无效委托。</w:t>
      </w:r>
    </w:p>
    <w:p>
      <w:pPr>
        <w:spacing w:line="530" w:lineRule="exact"/>
        <w:ind w:firstLine="420" w:firstLineChars="200"/>
        <w:jc w:val="left"/>
        <w:rPr>
          <w:rFonts w:ascii="微软雅黑" w:hAnsi="微软雅黑" w:eastAsia="微软雅黑"/>
          <w:szCs w:val="21"/>
        </w:rPr>
      </w:pPr>
      <w:r>
        <w:rPr>
          <w:rFonts w:hint="eastAsia" w:ascii="微软雅黑" w:hAnsi="微软雅黑" w:eastAsia="微软雅黑"/>
          <w:szCs w:val="21"/>
        </w:rPr>
        <w:t>10、投资者在委托有效期内可对未显示成交的委托发出撤销委托指令（本中心相关业务规则另有规定的除外），但由于市场价格随时波动及成交回报速度的原因，投资者的撤销委托指令虽经本中心或本中心指定的代理买卖机构发出，但投资者委托可能已在市场成交，此时投资者必须确认其成交。</w:t>
      </w:r>
    </w:p>
    <w:p>
      <w:pPr>
        <w:spacing w:line="530" w:lineRule="exact"/>
        <w:ind w:firstLine="420" w:firstLineChars="200"/>
        <w:jc w:val="left"/>
        <w:rPr>
          <w:rFonts w:ascii="微软雅黑" w:hAnsi="微软雅黑" w:eastAsia="微软雅黑"/>
          <w:szCs w:val="21"/>
        </w:rPr>
      </w:pPr>
      <w:r>
        <w:rPr>
          <w:rFonts w:ascii="微软雅黑" w:hAnsi="微软雅黑" w:eastAsia="微软雅黑"/>
          <w:szCs w:val="21"/>
        </w:rPr>
        <w:t>11</w:t>
      </w:r>
      <w:r>
        <w:rPr>
          <w:rFonts w:hint="eastAsia" w:ascii="微软雅黑" w:hAnsi="微软雅黑" w:eastAsia="微软雅黑"/>
          <w:szCs w:val="21"/>
        </w:rPr>
        <w:t>、本中心或本中心指定的代理买卖机构按照本中心</w:t>
      </w:r>
      <w:r>
        <w:rPr>
          <w:rFonts w:ascii="微软雅黑" w:hAnsi="微软雅黑" w:eastAsia="微软雅黑"/>
          <w:szCs w:val="21"/>
        </w:rPr>
        <w:t>规定的标准</w:t>
      </w:r>
      <w:r>
        <w:rPr>
          <w:rFonts w:hint="eastAsia" w:ascii="微软雅黑" w:hAnsi="微软雅黑" w:eastAsia="微软雅黑"/>
          <w:szCs w:val="21"/>
        </w:rPr>
        <w:t>收取投资者各项交易费用，并在投资者账户中自动划转。</w:t>
      </w:r>
    </w:p>
    <w:p>
      <w:pPr>
        <w:spacing w:line="530" w:lineRule="exact"/>
        <w:ind w:firstLine="420" w:firstLineChars="200"/>
        <w:jc w:val="left"/>
        <w:rPr>
          <w:rFonts w:ascii="微软雅黑" w:hAnsi="微软雅黑" w:eastAsia="微软雅黑"/>
          <w:szCs w:val="21"/>
        </w:rPr>
      </w:pPr>
      <w:r>
        <w:rPr>
          <w:rFonts w:ascii="微软雅黑" w:hAnsi="微软雅黑" w:eastAsia="微软雅黑"/>
          <w:szCs w:val="21"/>
        </w:rPr>
        <w:t>12</w:t>
      </w:r>
      <w:r>
        <w:rPr>
          <w:rFonts w:hint="eastAsia" w:ascii="微软雅黑" w:hAnsi="微软雅黑" w:eastAsia="微软雅黑"/>
          <w:szCs w:val="21"/>
        </w:rPr>
        <w:t>、投资者在进行委托前须确保已完全了解有关交易规则及特别提示，避免发出无效委托指令，否则由此导致的一切后果由投资者自行承担。本中心或本中心指定的代理买卖机构对根据投资者有效委托而完成的代理买卖所引起的后果不负任何责任。</w:t>
      </w:r>
    </w:p>
    <w:p>
      <w:pPr>
        <w:spacing w:line="530" w:lineRule="exact"/>
        <w:ind w:firstLine="420" w:firstLineChars="200"/>
        <w:jc w:val="left"/>
        <w:rPr>
          <w:rFonts w:ascii="微软雅黑" w:hAnsi="微软雅黑" w:eastAsia="微软雅黑"/>
          <w:szCs w:val="21"/>
        </w:rPr>
      </w:pPr>
      <w:r>
        <w:rPr>
          <w:rFonts w:ascii="微软雅黑" w:hAnsi="微软雅黑" w:eastAsia="微软雅黑"/>
          <w:szCs w:val="21"/>
        </w:rPr>
        <w:t>13</w:t>
      </w:r>
      <w:r>
        <w:rPr>
          <w:rFonts w:hint="eastAsia" w:ascii="微软雅黑" w:hAnsi="微软雅黑" w:eastAsia="微软雅黑"/>
          <w:szCs w:val="21"/>
        </w:rPr>
        <w:t>、当投资者重要资料变更时，应在发生变更后三个工作日内到本中心或其</w:t>
      </w:r>
      <w:r>
        <w:rPr>
          <w:rFonts w:ascii="微软雅黑" w:hAnsi="微软雅黑" w:eastAsia="微软雅黑"/>
          <w:szCs w:val="21"/>
        </w:rPr>
        <w:t>委托的</w:t>
      </w:r>
      <w:r>
        <w:rPr>
          <w:rFonts w:hint="eastAsia" w:ascii="微软雅黑" w:hAnsi="微软雅黑" w:eastAsia="微软雅黑"/>
          <w:szCs w:val="21"/>
        </w:rPr>
        <w:t>开户代理机构按要求办理变更手续。投资者重要资料包括但不限于机构名称、法定代表人、自然人姓名、有效证件号码等。当投资者一般资料变更时，应在发生变更后五个工作日内到本中心及其委托的开户代理机构按要求办理变更手续。投资者一般资料包括但不限于证件地址、联系地址、联系电话等。</w:t>
      </w:r>
      <w:r>
        <w:rPr>
          <w:rFonts w:hint="eastAsia" w:ascii="微软雅黑" w:hAnsi="微软雅黑" w:eastAsia="微软雅黑"/>
          <w:szCs w:val="21"/>
        </w:rPr>
        <w:br w:type="textWrapping"/>
      </w:r>
      <w:r>
        <w:rPr>
          <w:rFonts w:hint="eastAsia" w:ascii="微软雅黑" w:hAnsi="微软雅黑" w:eastAsia="微软雅黑"/>
          <w:szCs w:val="21"/>
        </w:rPr>
        <w:t xml:space="preserve">    14、本中心及其委托的开户代理机构有权依据本中心《投资者账户管理规则》等有关规定认定为不合格账户；对满足休眠条件的投资者账户进行休眠处理。 </w:t>
      </w:r>
      <w:r>
        <w:rPr>
          <w:rFonts w:hint="eastAsia" w:ascii="微软雅黑" w:hAnsi="微软雅黑" w:eastAsia="微软雅黑"/>
          <w:szCs w:val="21"/>
        </w:rPr>
        <w:br w:type="textWrapping"/>
      </w:r>
      <w:r>
        <w:rPr>
          <w:rFonts w:hint="eastAsia" w:ascii="微软雅黑" w:hAnsi="微软雅黑" w:eastAsia="微软雅黑"/>
          <w:szCs w:val="21"/>
        </w:rPr>
        <w:t xml:space="preserve">    15、发生以下情形时，本中心及其委托的开户代理机构可以对投资者相关投资者账户限制证券、证券衍生品种及其他权益类产品买入或卖出、不予办理新业务等限制使用措施，由此产生的相应经济损失和法律责任由投资者本人承担：（1）投资者未及时按照有关规定变更或补充投资者账户信息；（2）投资者账户被认定为不合格账户；（3）投资者存在出借或借用投资者账户行为的；（4）投资者有严重损害本中心合法权益、影响其正常经营秩序的行为；（5）法律法规、部门规章、及本中心规定的其他情形。 </w:t>
      </w:r>
    </w:p>
    <w:p>
      <w:pPr>
        <w:spacing w:line="530" w:lineRule="exact"/>
        <w:ind w:firstLine="420" w:firstLineChars="200"/>
        <w:jc w:val="left"/>
        <w:rPr>
          <w:rFonts w:ascii="微软雅黑" w:hAnsi="微软雅黑" w:eastAsia="微软雅黑"/>
          <w:szCs w:val="21"/>
        </w:rPr>
      </w:pPr>
      <w:r>
        <w:rPr>
          <w:rFonts w:hint="eastAsia" w:ascii="微软雅黑" w:hAnsi="微软雅黑" w:eastAsia="微软雅黑"/>
          <w:szCs w:val="21"/>
        </w:rPr>
        <w:t>16、投资者在收到本中心或其委托的开户代理机构终止产品买卖资格通知后，应到本中心或其委托的开户代理机构办理销户手续。在投资者收到本中心或其委托的开户代理机构终止产品买卖资格通知至投资者销户手续期间，本中心或其委托的代理买卖机构不接受除卖出投资者持有产品外的所有委托买卖指令。</w:t>
      </w:r>
      <w:r>
        <w:rPr>
          <w:rFonts w:hint="eastAsia" w:ascii="微软雅黑" w:hAnsi="微软雅黑" w:eastAsia="微软雅黑"/>
          <w:szCs w:val="21"/>
        </w:rPr>
        <w:br w:type="textWrapping"/>
      </w:r>
      <w:r>
        <w:rPr>
          <w:rFonts w:hint="eastAsia" w:ascii="微软雅黑" w:hAnsi="微软雅黑" w:eastAsia="微软雅黑"/>
          <w:szCs w:val="21"/>
        </w:rPr>
        <w:t xml:space="preserve">    17、投资者申请注销投资者账户时，应当确保满足注销条件。投资者账户注销后不可恢复使用。对投资者违反注销规定而因此产生的相应经济损失和法律责任由投资者本人承担。 </w:t>
      </w:r>
      <w:r>
        <w:rPr>
          <w:rFonts w:hint="eastAsia" w:ascii="微软雅黑" w:hAnsi="微软雅黑" w:eastAsia="微软雅黑"/>
          <w:szCs w:val="21"/>
        </w:rPr>
        <w:br w:type="textWrapping"/>
      </w:r>
      <w:r>
        <w:rPr>
          <w:rFonts w:hint="eastAsia" w:ascii="微软雅黑" w:hAnsi="微软雅黑" w:eastAsia="微软雅黑"/>
          <w:szCs w:val="21"/>
        </w:rPr>
        <w:t xml:space="preserve">    18、发生以下情形时，投资者、证券资产合法继承人或承继人等相关当事人应当按要求及时注销投资者账户，未按要求注销的，本中心及其委托的开户代理机构可以对投资者相关投资者账户予以强制注销，由此产生的相应经济损失和法律责任由投资者、证券资产合法继承人或承继人等承担：（1）自然人投资者死亡、机构投资者主体资格丧失、产品到期或被终止的；（2）不合格账户无法规范为合格账户的；（3）连续10年（含）以上未使</w:t>
      </w:r>
    </w:p>
    <w:p>
      <w:pPr>
        <w:widowControl/>
        <w:jc w:val="left"/>
        <w:rPr>
          <w:rFonts w:ascii="微软雅黑" w:hAnsi="微软雅黑" w:eastAsia="微软雅黑"/>
          <w:szCs w:val="21"/>
        </w:rPr>
      </w:pPr>
      <w:r>
        <w:rPr>
          <w:rFonts w:ascii="微软雅黑" w:hAnsi="微软雅黑" w:eastAsia="微软雅黑"/>
          <w:szCs w:val="21"/>
        </w:rPr>
        <w:br w:type="page"/>
      </w:r>
      <w:r>
        <w:rPr>
          <w:rFonts w:hint="eastAsia" w:ascii="微软雅黑" w:hAnsi="微软雅黑" w:eastAsia="微软雅黑"/>
          <w:szCs w:val="21"/>
        </w:rPr>
        <w:t xml:space="preserve">用的；（4）法律法规、部门规章及本中心规定的其他情形。 </w:t>
      </w:r>
    </w:p>
    <w:p>
      <w:pPr>
        <w:spacing w:line="530" w:lineRule="exact"/>
        <w:ind w:firstLine="420" w:firstLineChars="200"/>
        <w:jc w:val="left"/>
        <w:rPr>
          <w:rFonts w:ascii="微软雅黑" w:hAnsi="微软雅黑" w:eastAsia="微软雅黑"/>
          <w:szCs w:val="21"/>
        </w:rPr>
      </w:pPr>
      <w:r>
        <w:rPr>
          <w:rFonts w:hint="eastAsia" w:ascii="微软雅黑" w:hAnsi="微软雅黑" w:eastAsia="微软雅黑"/>
          <w:szCs w:val="21"/>
        </w:rPr>
        <w:t>19、本中心郑重提醒投资者注意密码的保密。任何使用投资者密码进行的操作（包括产品交易委托、资金转账委托等）均视为投资者行为；由于密码失密给投资者造成损失的，投资者自行承担全部经济损失和法律后果。</w:t>
      </w:r>
    </w:p>
    <w:p>
      <w:pPr>
        <w:spacing w:line="530" w:lineRule="exact"/>
        <w:ind w:firstLine="420" w:firstLineChars="200"/>
        <w:jc w:val="left"/>
        <w:rPr>
          <w:rFonts w:ascii="微软雅黑" w:hAnsi="微软雅黑" w:eastAsia="微软雅黑"/>
          <w:szCs w:val="21"/>
        </w:rPr>
      </w:pPr>
      <w:r>
        <w:rPr>
          <w:rFonts w:ascii="微软雅黑" w:hAnsi="微软雅黑" w:eastAsia="微软雅黑"/>
          <w:szCs w:val="21"/>
        </w:rPr>
        <w:t>20</w:t>
      </w:r>
      <w:r>
        <w:rPr>
          <w:rFonts w:hint="eastAsia" w:ascii="微软雅黑" w:hAnsi="微软雅黑" w:eastAsia="微软雅黑"/>
          <w:szCs w:val="21"/>
        </w:rPr>
        <w:t>、投资者应妥善保管其身份证件及</w:t>
      </w:r>
      <w:r>
        <w:rPr>
          <w:rFonts w:ascii="微软雅黑" w:hAnsi="微软雅黑" w:eastAsia="微软雅黑"/>
          <w:szCs w:val="21"/>
        </w:rPr>
        <w:t>相关</w:t>
      </w:r>
      <w:r>
        <w:rPr>
          <w:rFonts w:hint="eastAsia" w:ascii="微软雅黑" w:hAnsi="微软雅黑" w:eastAsia="微软雅黑"/>
          <w:szCs w:val="21"/>
        </w:rPr>
        <w:t>凭证，因他人伪造、变造身份证件及</w:t>
      </w:r>
      <w:r>
        <w:rPr>
          <w:rFonts w:ascii="微软雅黑" w:hAnsi="微软雅黑" w:eastAsia="微软雅黑"/>
          <w:szCs w:val="21"/>
        </w:rPr>
        <w:t>相关</w:t>
      </w:r>
      <w:r>
        <w:rPr>
          <w:rFonts w:hint="eastAsia" w:ascii="微软雅黑" w:hAnsi="微软雅黑" w:eastAsia="微软雅黑"/>
          <w:szCs w:val="21"/>
        </w:rPr>
        <w:t>凭证给投资者造成损失，应由侵权方承担法律责任。</w:t>
      </w:r>
    </w:p>
    <w:p>
      <w:pPr>
        <w:spacing w:line="530" w:lineRule="exact"/>
        <w:ind w:firstLine="420" w:firstLineChars="200"/>
        <w:jc w:val="left"/>
        <w:rPr>
          <w:rFonts w:ascii="微软雅黑" w:hAnsi="微软雅黑" w:eastAsia="微软雅黑"/>
          <w:szCs w:val="21"/>
        </w:rPr>
      </w:pPr>
      <w:r>
        <w:rPr>
          <w:rFonts w:ascii="微软雅黑" w:hAnsi="微软雅黑" w:eastAsia="微软雅黑"/>
          <w:szCs w:val="21"/>
        </w:rPr>
        <w:t>21</w:t>
      </w:r>
      <w:r>
        <w:rPr>
          <w:rFonts w:hint="eastAsia" w:ascii="微软雅黑" w:hAnsi="微软雅黑" w:eastAsia="微软雅黑"/>
          <w:szCs w:val="21"/>
        </w:rPr>
        <w:t>、如出现涉及投资者财产继承权或财产归属的纠纷，本中心均按公证机关出具的公证书、司法机关的裁决及仲裁委员会的裁决办理。</w:t>
      </w:r>
      <w:r>
        <w:rPr>
          <w:rFonts w:hint="eastAsia" w:ascii="微软雅黑" w:hAnsi="微软雅黑" w:eastAsia="微软雅黑"/>
          <w:szCs w:val="21"/>
        </w:rPr>
        <w:br w:type="textWrapping"/>
      </w:r>
      <w:r>
        <w:rPr>
          <w:rFonts w:hint="eastAsia" w:ascii="微软雅黑" w:hAnsi="微软雅黑" w:eastAsia="微软雅黑"/>
          <w:szCs w:val="21"/>
        </w:rPr>
        <w:t xml:space="preserve">    </w:t>
      </w:r>
      <w:r>
        <w:rPr>
          <w:rFonts w:ascii="微软雅黑" w:hAnsi="微软雅黑" w:eastAsia="微软雅黑"/>
          <w:szCs w:val="21"/>
        </w:rPr>
        <w:t>22</w:t>
      </w:r>
      <w:r>
        <w:rPr>
          <w:rFonts w:hint="eastAsia" w:ascii="微软雅黑" w:hAnsi="微软雅黑" w:eastAsia="微软雅黑"/>
          <w:szCs w:val="21"/>
        </w:rPr>
        <w:t>、因不可抗力而引起的业务办理错误，本中心及其委托的开户代理机构不承担任何责任。</w:t>
      </w:r>
      <w:r>
        <w:rPr>
          <w:rFonts w:ascii="微软雅黑" w:hAnsi="微软雅黑" w:eastAsia="微软雅黑"/>
          <w:szCs w:val="21"/>
        </w:rPr>
        <w:br w:type="textWrapping"/>
      </w:r>
      <w:r>
        <w:rPr>
          <w:rFonts w:hint="eastAsia" w:ascii="微软雅黑" w:hAnsi="微软雅黑" w:eastAsia="微软雅黑"/>
          <w:szCs w:val="21"/>
        </w:rPr>
        <w:t xml:space="preserve">    </w:t>
      </w:r>
      <w:r>
        <w:rPr>
          <w:rFonts w:ascii="微软雅黑" w:hAnsi="微软雅黑" w:eastAsia="微软雅黑"/>
          <w:szCs w:val="21"/>
        </w:rPr>
        <w:t>23</w:t>
      </w:r>
      <w:r>
        <w:rPr>
          <w:rFonts w:hint="eastAsia" w:ascii="微软雅黑" w:hAnsi="微软雅黑" w:eastAsia="微软雅黑"/>
          <w:szCs w:val="21"/>
        </w:rPr>
        <w:t>、本中心修订账户业务规则及本须知等开户文件时，采用公告提示，</w:t>
      </w:r>
      <w:r>
        <w:rPr>
          <w:rFonts w:ascii="微软雅黑" w:hAnsi="微软雅黑" w:eastAsia="微软雅黑"/>
          <w:szCs w:val="21"/>
        </w:rPr>
        <w:t>无须</w:t>
      </w:r>
      <w:r>
        <w:rPr>
          <w:rFonts w:hint="eastAsia" w:ascii="微软雅黑" w:hAnsi="微软雅黑" w:eastAsia="微软雅黑"/>
          <w:szCs w:val="21"/>
        </w:rPr>
        <w:t>知会</w:t>
      </w:r>
      <w:r>
        <w:rPr>
          <w:rFonts w:ascii="微软雅黑" w:hAnsi="微软雅黑" w:eastAsia="微软雅黑"/>
          <w:szCs w:val="21"/>
        </w:rPr>
        <w:t>申请人</w:t>
      </w:r>
      <w:r>
        <w:rPr>
          <w:rFonts w:hint="eastAsia" w:ascii="微软雅黑" w:hAnsi="微软雅黑" w:eastAsia="微软雅黑"/>
          <w:szCs w:val="21"/>
        </w:rPr>
        <w:t>和</w:t>
      </w:r>
      <w:r>
        <w:rPr>
          <w:rFonts w:ascii="微软雅黑" w:hAnsi="微软雅黑" w:eastAsia="微软雅黑"/>
          <w:szCs w:val="21"/>
        </w:rPr>
        <w:t>投资者账户持有人。</w:t>
      </w:r>
      <w:r>
        <w:rPr>
          <w:rFonts w:hint="eastAsia" w:ascii="微软雅黑" w:hAnsi="微软雅黑" w:eastAsia="微软雅黑"/>
          <w:szCs w:val="21"/>
        </w:rPr>
        <w:t>申请人和投资者账户持有人应当按照修订后的业务规则及须知执行。</w:t>
      </w:r>
    </w:p>
    <w:p>
      <w:pPr>
        <w:spacing w:line="530" w:lineRule="exact"/>
        <w:ind w:firstLine="420" w:firstLineChars="200"/>
        <w:jc w:val="left"/>
        <w:rPr>
          <w:rFonts w:ascii="微软雅黑" w:hAnsi="微软雅黑" w:eastAsia="微软雅黑"/>
          <w:szCs w:val="21"/>
        </w:rPr>
      </w:pPr>
    </w:p>
    <w:p>
      <w:pPr>
        <w:spacing w:line="530" w:lineRule="exact"/>
        <w:ind w:firstLine="420" w:firstLineChars="200"/>
        <w:jc w:val="left"/>
        <w:rPr>
          <w:rFonts w:ascii="微软雅黑" w:hAnsi="微软雅黑" w:eastAsia="微软雅黑"/>
          <w:szCs w:val="21"/>
        </w:rPr>
      </w:pPr>
    </w:p>
    <w:p>
      <w:pPr>
        <w:ind w:firstLine="3265" w:firstLineChars="1555"/>
        <w:rPr>
          <w:rFonts w:asciiTheme="minorEastAsia" w:hAnsiTheme="minorEastAsia"/>
          <w:sz w:val="28"/>
          <w:szCs w:val="28"/>
          <w:u w:val="single"/>
        </w:rPr>
      </w:pPr>
      <w:r>
        <w:rPr>
          <w:rFonts w:hint="eastAsia" w:ascii="微软雅黑" w:hAnsi="微软雅黑" w:eastAsia="微软雅黑"/>
          <w:szCs w:val="21"/>
        </w:rPr>
        <w:t>投资者确认签字：</w:t>
      </w:r>
      <w:r>
        <w:rPr>
          <w:rFonts w:hint="eastAsia" w:asciiTheme="minorEastAsia" w:hAnsiTheme="minorEastAsia"/>
          <w:sz w:val="28"/>
          <w:szCs w:val="28"/>
          <w:u w:val="single"/>
        </w:rPr>
        <w:t xml:space="preserve">                     </w:t>
      </w:r>
    </w:p>
    <w:p>
      <w:pPr>
        <w:ind w:firstLine="3265" w:firstLineChars="1555"/>
        <w:rPr>
          <w:rFonts w:asciiTheme="minorEastAsia" w:hAnsiTheme="minorEastAsia"/>
          <w:sz w:val="28"/>
          <w:szCs w:val="28"/>
          <w:u w:val="single"/>
        </w:rPr>
      </w:pPr>
      <w:r>
        <w:rPr>
          <w:rFonts w:hint="eastAsia" w:ascii="微软雅黑" w:hAnsi="微软雅黑" w:eastAsia="微软雅黑"/>
          <w:szCs w:val="21"/>
        </w:rPr>
        <w:t>代办人确认</w:t>
      </w:r>
      <w:r>
        <w:rPr>
          <w:rFonts w:ascii="微软雅黑" w:hAnsi="微软雅黑" w:eastAsia="微软雅黑"/>
          <w:szCs w:val="21"/>
        </w:rPr>
        <w:t>签字</w:t>
      </w:r>
      <w:r>
        <w:rPr>
          <w:rFonts w:hint="eastAsia" w:ascii="微软雅黑" w:hAnsi="微软雅黑" w:eastAsia="微软雅黑"/>
          <w:szCs w:val="21"/>
        </w:rPr>
        <w:t>：</w:t>
      </w:r>
      <w:r>
        <w:rPr>
          <w:rFonts w:hint="eastAsia" w:asciiTheme="minorEastAsia" w:hAnsiTheme="minorEastAsia"/>
          <w:sz w:val="28"/>
          <w:szCs w:val="28"/>
          <w:u w:val="single"/>
        </w:rPr>
        <w:t xml:space="preserve">                     </w:t>
      </w:r>
    </w:p>
    <w:p>
      <w:pPr>
        <w:ind w:firstLine="3990" w:firstLineChars="1900"/>
        <w:rPr>
          <w:rFonts w:ascii="微软雅黑" w:hAnsi="微软雅黑" w:eastAsia="微软雅黑"/>
          <w:szCs w:val="21"/>
        </w:rPr>
      </w:pPr>
      <w:r>
        <w:rPr>
          <w:rFonts w:hint="eastAsia" w:ascii="微软雅黑" w:hAnsi="微软雅黑" w:eastAsia="微软雅黑"/>
          <w:szCs w:val="21"/>
        </w:rPr>
        <w:t>签署</w:t>
      </w:r>
      <w:r>
        <w:rPr>
          <w:rFonts w:ascii="微软雅黑" w:hAnsi="微软雅黑" w:eastAsia="微软雅黑"/>
          <w:szCs w:val="21"/>
        </w:rPr>
        <w:t>日期：</w:t>
      </w:r>
      <w:r>
        <w:rPr>
          <w:rFonts w:hint="eastAsia" w:ascii="微软雅黑" w:hAnsi="微软雅黑" w:eastAsia="微软雅黑"/>
          <w:szCs w:val="21"/>
        </w:rPr>
        <w:t xml:space="preserve">    年     月     日</w:t>
      </w:r>
    </w:p>
    <w:p>
      <w:pPr>
        <w:ind w:firstLine="560" w:firstLineChars="200"/>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widowControl/>
        <w:jc w:val="left"/>
        <w:rPr>
          <w:rFonts w:ascii="仿宋" w:hAnsi="仿宋" w:eastAsia="仿宋" w:cs="仿宋"/>
          <w:sz w:val="28"/>
          <w:szCs w:val="28"/>
        </w:rPr>
      </w:pPr>
      <w:r>
        <w:rPr>
          <w:rFonts w:ascii="仿宋" w:hAnsi="仿宋" w:eastAsia="仿宋" w:cs="仿宋"/>
          <w:sz w:val="28"/>
          <w:szCs w:val="28"/>
        </w:rPr>
        <w:br w:type="page"/>
      </w:r>
    </w:p>
    <w:p>
      <w:pPr>
        <w:rPr>
          <w:rFonts w:ascii="仿宋" w:hAnsi="仿宋" w:eastAsia="仿宋" w:cs="仿宋"/>
          <w:sz w:val="28"/>
          <w:szCs w:val="28"/>
        </w:rPr>
      </w:pPr>
    </w:p>
    <w:p>
      <w:pPr>
        <w:spacing w:line="510" w:lineRule="exact"/>
        <w:jc w:val="center"/>
        <w:rPr>
          <w:sz w:val="28"/>
          <w:szCs w:val="28"/>
        </w:rPr>
      </w:pPr>
      <w:r>
        <w:rPr>
          <w:rFonts w:ascii="微软雅黑" w:hAnsi="微软雅黑" w:eastAsia="微软雅黑"/>
          <w:b/>
          <w:sz w:val="36"/>
          <w:szCs w:val="36"/>
        </w:rPr>
        <w:tab/>
      </w:r>
      <w:r>
        <w:rPr>
          <w:rFonts w:hint="eastAsia" w:ascii="微软雅黑" w:hAnsi="微软雅黑" w:eastAsia="微软雅黑"/>
          <w:b/>
          <w:sz w:val="36"/>
          <w:szCs w:val="36"/>
        </w:rPr>
        <w:t>承诺书</w:t>
      </w:r>
    </w:p>
    <w:p>
      <w:pPr>
        <w:spacing w:line="510" w:lineRule="exact"/>
        <w:jc w:val="left"/>
        <w:rPr>
          <w:rFonts w:ascii="微软雅黑" w:hAnsi="微软雅黑" w:eastAsia="微软雅黑"/>
          <w:szCs w:val="21"/>
        </w:rPr>
      </w:pPr>
      <w:r>
        <w:rPr>
          <w:rFonts w:hint="eastAsia" w:ascii="微软雅黑" w:hAnsi="微软雅黑" w:eastAsia="微软雅黑"/>
          <w:szCs w:val="21"/>
        </w:rPr>
        <w:t>天府（四川）联合股权交易中心股份有限公司：</w:t>
      </w:r>
    </w:p>
    <w:p>
      <w:pPr>
        <w:spacing w:line="510" w:lineRule="exact"/>
        <w:ind w:firstLine="420" w:firstLineChars="200"/>
        <w:jc w:val="left"/>
        <w:rPr>
          <w:rFonts w:ascii="微软雅黑" w:hAnsi="微软雅黑" w:eastAsia="微软雅黑"/>
          <w:szCs w:val="21"/>
        </w:rPr>
      </w:pPr>
      <w:r>
        <w:rPr>
          <w:rFonts w:hint="eastAsia" w:ascii="微软雅黑" w:hAnsi="微软雅黑" w:eastAsia="微软雅黑"/>
          <w:szCs w:val="21"/>
        </w:rPr>
        <w:t>本人</w:t>
      </w:r>
      <w:r>
        <w:rPr>
          <w:rFonts w:hint="eastAsia" w:ascii="微软雅黑" w:hAnsi="微软雅黑" w:eastAsia="微软雅黑"/>
          <w:szCs w:val="21"/>
          <w:u w:val="single"/>
        </w:rPr>
        <w:t xml:space="preserve">               </w:t>
      </w:r>
      <w:r>
        <w:rPr>
          <w:rFonts w:hint="eastAsia" w:ascii="微软雅黑" w:hAnsi="微软雅黑" w:eastAsia="微软雅黑"/>
          <w:szCs w:val="21"/>
        </w:rPr>
        <w:t>，身份证件类型</w:t>
      </w:r>
      <w:r>
        <w:rPr>
          <w:rFonts w:hint="eastAsia" w:ascii="微软雅黑" w:hAnsi="微软雅黑" w:eastAsia="微软雅黑"/>
          <w:szCs w:val="21"/>
          <w:u w:val="single"/>
        </w:rPr>
        <w:t xml:space="preserve">                          </w:t>
      </w:r>
      <w:r>
        <w:rPr>
          <w:rFonts w:hint="eastAsia" w:ascii="微软雅黑" w:hAnsi="微软雅黑" w:eastAsia="微软雅黑"/>
          <w:szCs w:val="21"/>
        </w:rPr>
        <w:t>，</w:t>
      </w:r>
    </w:p>
    <w:p>
      <w:pPr>
        <w:spacing w:line="510" w:lineRule="exact"/>
        <w:ind w:firstLine="420" w:firstLineChars="200"/>
        <w:jc w:val="left"/>
        <w:rPr>
          <w:rFonts w:ascii="微软雅黑" w:hAnsi="微软雅黑" w:eastAsia="微软雅黑"/>
          <w:szCs w:val="21"/>
        </w:rPr>
      </w:pPr>
      <w:r>
        <w:rPr>
          <w:rFonts w:ascii="微软雅黑" w:hAnsi="微软雅黑" w:eastAsia="微软雅黑"/>
          <w:szCs w:val="21"/>
        </w:rPr>
        <w:t>证件</w:t>
      </w:r>
      <w:r>
        <w:rPr>
          <w:rFonts w:hint="eastAsia" w:ascii="微软雅黑" w:hAnsi="微软雅黑" w:eastAsia="微软雅黑"/>
          <w:szCs w:val="21"/>
        </w:rPr>
        <w:t xml:space="preserve">号码 </w:t>
      </w:r>
      <w:r>
        <w:rPr>
          <w:rFonts w:hint="eastAsia" w:ascii="微软雅黑" w:hAnsi="微软雅黑" w:eastAsia="微软雅黑"/>
          <w:szCs w:val="21"/>
          <w:u w:val="single"/>
        </w:rPr>
        <w:t xml:space="preserve">                                      </w:t>
      </w:r>
      <w:r>
        <w:rPr>
          <w:rFonts w:hint="eastAsia" w:ascii="微软雅黑" w:hAnsi="微软雅黑" w:eastAsia="微软雅黑"/>
          <w:szCs w:val="21"/>
        </w:rPr>
        <w:t>，现就申请在贵中心开立投资者账户并开展相关业务，特承诺如下：</w:t>
      </w:r>
    </w:p>
    <w:p>
      <w:pPr>
        <w:spacing w:line="510" w:lineRule="exact"/>
        <w:ind w:firstLine="420" w:firstLineChars="200"/>
        <w:jc w:val="left"/>
        <w:rPr>
          <w:rFonts w:ascii="微软雅黑" w:hAnsi="微软雅黑" w:eastAsia="微软雅黑"/>
          <w:szCs w:val="21"/>
        </w:rPr>
      </w:pPr>
      <w:r>
        <w:rPr>
          <w:rFonts w:hint="eastAsia" w:ascii="微软雅黑" w:hAnsi="微软雅黑" w:eastAsia="微软雅黑"/>
          <w:szCs w:val="21"/>
        </w:rPr>
        <w:t>一、本人承诺符合以下标准：</w:t>
      </w:r>
    </w:p>
    <w:p>
      <w:pPr>
        <w:spacing w:line="510" w:lineRule="exact"/>
        <w:ind w:firstLine="420" w:firstLineChars="200"/>
        <w:jc w:val="left"/>
        <w:rPr>
          <w:rFonts w:ascii="微软雅黑" w:hAnsi="微软雅黑" w:eastAsia="微软雅黑"/>
          <w:szCs w:val="21"/>
        </w:rPr>
      </w:pPr>
      <w:r>
        <w:rPr>
          <w:rFonts w:hint="eastAsia" w:ascii="微软雅黑" w:hAnsi="微软雅黑" w:eastAsia="微软雅黑"/>
          <w:szCs w:val="21"/>
        </w:rPr>
        <w:t>□一定时期（近6个月）金融资产价值不低于人民币50万元，且具有2年以上金融产品投资经历或金融行业及相关工作经历；</w:t>
      </w:r>
    </w:p>
    <w:p>
      <w:pPr>
        <w:spacing w:line="510" w:lineRule="exact"/>
        <w:ind w:firstLine="420" w:firstLineChars="200"/>
        <w:jc w:val="left"/>
        <w:rPr>
          <w:rFonts w:ascii="微软雅黑" w:hAnsi="微软雅黑" w:eastAsia="微软雅黑"/>
          <w:szCs w:val="21"/>
        </w:rPr>
      </w:pPr>
      <w:r>
        <w:rPr>
          <w:rFonts w:hint="eastAsia" w:ascii="微软雅黑" w:hAnsi="微软雅黑" w:eastAsia="微软雅黑"/>
          <w:szCs w:val="21"/>
        </w:rPr>
        <w:t>□企业股权登记托管前已持有股权的股东；</w:t>
      </w:r>
    </w:p>
    <w:p>
      <w:pPr>
        <w:spacing w:line="510" w:lineRule="exact"/>
        <w:ind w:firstLine="420" w:firstLineChars="200"/>
        <w:jc w:val="left"/>
        <w:rPr>
          <w:rFonts w:ascii="微软雅黑" w:hAnsi="微软雅黑" w:eastAsia="微软雅黑"/>
          <w:szCs w:val="21"/>
        </w:rPr>
      </w:pPr>
      <w:r>
        <w:rPr>
          <w:rFonts w:hint="eastAsia" w:ascii="微软雅黑" w:hAnsi="微软雅黑" w:eastAsia="微软雅黑"/>
          <w:szCs w:val="21"/>
        </w:rPr>
        <w:t>□天府股交中心证券发行人、登记托管企业的董事、监事、高级管理人员；</w:t>
      </w:r>
    </w:p>
    <w:p>
      <w:pPr>
        <w:spacing w:line="510" w:lineRule="exact"/>
        <w:ind w:firstLine="420" w:firstLineChars="200"/>
        <w:jc w:val="left"/>
        <w:rPr>
          <w:rFonts w:ascii="微软雅黑" w:hAnsi="微软雅黑" w:eastAsia="微软雅黑"/>
          <w:szCs w:val="21"/>
        </w:rPr>
      </w:pPr>
      <w:r>
        <w:rPr>
          <w:rFonts w:hint="eastAsia" w:ascii="微软雅黑" w:hAnsi="微软雅黑" w:eastAsia="微软雅黑"/>
          <w:szCs w:val="21"/>
        </w:rPr>
        <w:t>□天府股交中心登记托管企业实施股权激励计划的激励对象；</w:t>
      </w:r>
    </w:p>
    <w:p>
      <w:pPr>
        <w:spacing w:line="510" w:lineRule="exact"/>
        <w:ind w:firstLine="420" w:firstLineChars="200"/>
        <w:jc w:val="left"/>
        <w:rPr>
          <w:rFonts w:ascii="微软雅黑" w:hAnsi="微软雅黑" w:eastAsia="微软雅黑"/>
          <w:szCs w:val="21"/>
        </w:rPr>
      </w:pPr>
      <w:r>
        <w:rPr>
          <w:rFonts w:hint="eastAsia" w:ascii="微软雅黑" w:hAnsi="微软雅黑" w:eastAsia="微软雅黑"/>
          <w:szCs w:val="21"/>
        </w:rPr>
        <w:sym w:font="Wingdings 2" w:char="00A3"/>
      </w:r>
      <w:r>
        <w:rPr>
          <w:rFonts w:hint="eastAsia" w:ascii="微软雅黑" w:hAnsi="微软雅黑" w:eastAsia="微软雅黑"/>
          <w:szCs w:val="21"/>
        </w:rPr>
        <w:t>天府股交中心登记托管企业</w:t>
      </w:r>
      <w:r>
        <w:rPr>
          <w:rFonts w:hint="eastAsia" w:ascii="微软雅黑" w:hAnsi="微软雅黑" w:eastAsia="微软雅黑"/>
          <w:szCs w:val="21"/>
          <w:u w:val="single"/>
        </w:rPr>
        <w:t xml:space="preserve">                       </w:t>
      </w:r>
      <w:r>
        <w:rPr>
          <w:rFonts w:hint="eastAsia" w:ascii="微软雅黑" w:hAnsi="微软雅黑" w:eastAsia="微软雅黑"/>
          <w:szCs w:val="21"/>
        </w:rPr>
        <w:t>（企业名称）股权的意向受让方；</w:t>
      </w:r>
    </w:p>
    <w:p>
      <w:pPr>
        <w:spacing w:line="510" w:lineRule="exact"/>
        <w:ind w:firstLine="420" w:firstLineChars="200"/>
        <w:jc w:val="left"/>
        <w:rPr>
          <w:rFonts w:ascii="微软雅黑" w:hAnsi="微软雅黑" w:eastAsia="微软雅黑"/>
          <w:szCs w:val="21"/>
          <w:u w:val="single"/>
        </w:rPr>
      </w:pPr>
      <w:r>
        <w:rPr>
          <w:rFonts w:hint="eastAsia" w:ascii="微软雅黑" w:hAnsi="微软雅黑" w:eastAsia="微软雅黑"/>
          <w:szCs w:val="21"/>
        </w:rPr>
        <w:t>□其他情形</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w:t>
      </w:r>
    </w:p>
    <w:p>
      <w:pPr>
        <w:spacing w:line="510" w:lineRule="exact"/>
        <w:ind w:firstLine="420" w:firstLineChars="200"/>
        <w:jc w:val="left"/>
        <w:rPr>
          <w:rFonts w:ascii="微软雅黑" w:hAnsi="微软雅黑" w:eastAsia="微软雅黑"/>
          <w:szCs w:val="21"/>
        </w:rPr>
      </w:pPr>
      <w:r>
        <w:rPr>
          <w:rFonts w:hint="eastAsia" w:ascii="微软雅黑" w:hAnsi="微软雅黑" w:eastAsia="微软雅黑"/>
          <w:szCs w:val="21"/>
        </w:rPr>
        <w:t>二、本人承诺提供的所有证明文件真实、有效、合法，如有隐瞒或虚构造假，本人自行承担一切法律责任和经济后果。</w:t>
      </w:r>
    </w:p>
    <w:p>
      <w:pPr>
        <w:spacing w:line="510" w:lineRule="exact"/>
        <w:jc w:val="left"/>
        <w:rPr>
          <w:rFonts w:ascii="微软雅黑" w:hAnsi="微软雅黑" w:eastAsia="微软雅黑"/>
          <w:szCs w:val="21"/>
        </w:rPr>
      </w:pPr>
      <w:r>
        <w:rPr>
          <w:rFonts w:ascii="微软雅黑" w:hAnsi="微软雅黑" w:eastAsia="微软雅黑"/>
          <w:szCs w:val="21"/>
        </w:rPr>
        <w:t xml:space="preserve">    </w:t>
      </w:r>
      <w:r>
        <w:rPr>
          <w:rFonts w:hint="eastAsia" w:ascii="微软雅黑" w:hAnsi="微软雅黑" w:eastAsia="微软雅黑"/>
          <w:szCs w:val="21"/>
        </w:rPr>
        <w:t>三、本人承诺所提供的所有金融资产证明文件中的金融资产所有权归本人。</w:t>
      </w:r>
    </w:p>
    <w:p>
      <w:pPr>
        <w:spacing w:line="510" w:lineRule="exact"/>
        <w:jc w:val="left"/>
        <w:rPr>
          <w:rFonts w:ascii="微软雅黑" w:hAnsi="微软雅黑" w:eastAsia="微软雅黑"/>
          <w:szCs w:val="21"/>
        </w:rPr>
      </w:pPr>
      <w:r>
        <w:rPr>
          <w:rFonts w:ascii="微软雅黑" w:hAnsi="微软雅黑" w:eastAsia="微软雅黑"/>
          <w:szCs w:val="21"/>
        </w:rPr>
        <w:t xml:space="preserve">    </w:t>
      </w:r>
      <w:r>
        <w:rPr>
          <w:rFonts w:hint="eastAsia" w:ascii="微软雅黑" w:hAnsi="微软雅黑" w:eastAsia="微软雅黑"/>
          <w:szCs w:val="21"/>
        </w:rPr>
        <w:t>四、本人承诺提供的金融资产证明文件中的金融资产价值为合理价值，如有不实或虚高等情形，本人自行承担一切法律责任和经济后果。</w:t>
      </w:r>
    </w:p>
    <w:p>
      <w:pPr>
        <w:spacing w:line="510" w:lineRule="exact"/>
        <w:jc w:val="left"/>
        <w:rPr>
          <w:rFonts w:ascii="微软雅黑" w:hAnsi="微软雅黑" w:eastAsia="微软雅黑"/>
          <w:szCs w:val="21"/>
        </w:rPr>
      </w:pPr>
      <w:r>
        <w:rPr>
          <w:rFonts w:ascii="微软雅黑" w:hAnsi="微软雅黑" w:eastAsia="微软雅黑"/>
          <w:szCs w:val="21"/>
        </w:rPr>
        <w:t xml:space="preserve">    </w:t>
      </w:r>
      <w:r>
        <w:rPr>
          <w:rFonts w:hint="eastAsia" w:ascii="微软雅黑" w:hAnsi="微软雅黑" w:eastAsia="微软雅黑"/>
          <w:szCs w:val="21"/>
        </w:rPr>
        <w:t>五、本人授权贵公司可通过第三方自行查询本人所提供资产证明的真实性、有效性及合法性。</w:t>
      </w:r>
    </w:p>
    <w:p>
      <w:pPr>
        <w:ind w:firstLine="3265" w:firstLineChars="1555"/>
        <w:rPr>
          <w:rFonts w:asciiTheme="minorEastAsia" w:hAnsiTheme="minorEastAsia"/>
          <w:sz w:val="28"/>
          <w:szCs w:val="28"/>
          <w:u w:val="single"/>
        </w:rPr>
      </w:pPr>
      <w:r>
        <w:rPr>
          <w:rFonts w:hint="eastAsia" w:ascii="微软雅黑" w:hAnsi="微软雅黑" w:eastAsia="微软雅黑"/>
          <w:szCs w:val="21"/>
        </w:rPr>
        <w:t>投资者确认签字：</w:t>
      </w:r>
      <w:r>
        <w:rPr>
          <w:rFonts w:hint="eastAsia" w:asciiTheme="minorEastAsia" w:hAnsiTheme="minorEastAsia"/>
          <w:sz w:val="28"/>
          <w:szCs w:val="28"/>
          <w:u w:val="single"/>
        </w:rPr>
        <w:t xml:space="preserve">                     </w:t>
      </w:r>
    </w:p>
    <w:p>
      <w:pPr>
        <w:ind w:firstLine="3265" w:firstLineChars="1555"/>
        <w:rPr>
          <w:rFonts w:asciiTheme="minorEastAsia" w:hAnsiTheme="minorEastAsia"/>
          <w:sz w:val="28"/>
          <w:szCs w:val="28"/>
          <w:u w:val="single"/>
        </w:rPr>
      </w:pPr>
      <w:r>
        <w:rPr>
          <w:rFonts w:hint="eastAsia" w:ascii="微软雅黑" w:hAnsi="微软雅黑" w:eastAsia="微软雅黑"/>
          <w:szCs w:val="21"/>
        </w:rPr>
        <w:t>代办人确认</w:t>
      </w:r>
      <w:r>
        <w:rPr>
          <w:rFonts w:ascii="微软雅黑" w:hAnsi="微软雅黑" w:eastAsia="微软雅黑"/>
          <w:szCs w:val="21"/>
        </w:rPr>
        <w:t>签字</w:t>
      </w:r>
      <w:r>
        <w:rPr>
          <w:rFonts w:hint="eastAsia" w:ascii="微软雅黑" w:hAnsi="微软雅黑" w:eastAsia="微软雅黑"/>
          <w:szCs w:val="21"/>
        </w:rPr>
        <w:t>：</w:t>
      </w:r>
      <w:r>
        <w:rPr>
          <w:rFonts w:hint="eastAsia" w:asciiTheme="minorEastAsia" w:hAnsiTheme="minorEastAsia"/>
          <w:sz w:val="28"/>
          <w:szCs w:val="28"/>
          <w:u w:val="single"/>
        </w:rPr>
        <w:t xml:space="preserve">                     </w:t>
      </w:r>
    </w:p>
    <w:p>
      <w:pPr>
        <w:ind w:firstLine="3990" w:firstLineChars="1900"/>
        <w:rPr>
          <w:rFonts w:ascii="微软雅黑" w:hAnsi="微软雅黑" w:eastAsia="微软雅黑"/>
          <w:szCs w:val="21"/>
        </w:rPr>
      </w:pPr>
      <w:r>
        <w:rPr>
          <w:rFonts w:hint="eastAsia" w:ascii="微软雅黑" w:hAnsi="微软雅黑" w:eastAsia="微软雅黑"/>
          <w:szCs w:val="21"/>
        </w:rPr>
        <w:t>签署</w:t>
      </w:r>
      <w:r>
        <w:rPr>
          <w:rFonts w:ascii="微软雅黑" w:hAnsi="微软雅黑" w:eastAsia="微软雅黑"/>
          <w:szCs w:val="21"/>
        </w:rPr>
        <w:t>日期：</w:t>
      </w:r>
      <w:r>
        <w:rPr>
          <w:rFonts w:hint="eastAsia" w:ascii="微软雅黑" w:hAnsi="微软雅黑" w:eastAsia="微软雅黑"/>
          <w:szCs w:val="21"/>
        </w:rPr>
        <w:t xml:space="preserve">    年     月     日</w:t>
      </w:r>
    </w:p>
    <w:p>
      <w:pPr>
        <w:spacing w:line="510" w:lineRule="exact"/>
        <w:ind w:left="4095" w:leftChars="200" w:hanging="3675" w:hangingChars="1750"/>
        <w:jc w:val="left"/>
        <w:rPr>
          <w:rFonts w:ascii="微软雅黑" w:hAnsi="微软雅黑" w:eastAsia="微软雅黑"/>
          <w:szCs w:val="21"/>
        </w:rPr>
      </w:pPr>
      <w:r>
        <w:rPr>
          <w:rFonts w:ascii="微软雅黑" w:hAnsi="微软雅黑" w:eastAsia="微软雅黑"/>
          <w:szCs w:val="21"/>
        </w:rPr>
        <w:br w:type="page"/>
      </w:r>
    </w:p>
    <w:p>
      <w:pPr>
        <w:rPr>
          <w:rFonts w:ascii="微软雅黑" w:hAnsi="微软雅黑" w:eastAsia="微软雅黑"/>
          <w:szCs w:val="21"/>
        </w:rPr>
      </w:pPr>
    </w:p>
    <w:p>
      <w:pPr>
        <w:spacing w:line="510" w:lineRule="exact"/>
        <w:jc w:val="center"/>
        <w:rPr>
          <w:rFonts w:ascii="微软雅黑" w:hAnsi="微软雅黑" w:eastAsia="微软雅黑"/>
          <w:b/>
          <w:sz w:val="36"/>
          <w:szCs w:val="36"/>
        </w:rPr>
      </w:pPr>
      <w:r>
        <w:rPr>
          <w:rFonts w:ascii="微软雅黑" w:hAnsi="微软雅黑" w:eastAsia="微软雅黑"/>
          <w:b/>
          <w:sz w:val="36"/>
          <w:szCs w:val="36"/>
        </w:rPr>
        <w:tab/>
      </w:r>
      <w:r>
        <w:rPr>
          <w:rFonts w:hint="eastAsia" w:ascii="微软雅黑" w:hAnsi="微软雅黑" w:eastAsia="微软雅黑"/>
          <w:b/>
          <w:sz w:val="36"/>
          <w:szCs w:val="36"/>
        </w:rPr>
        <w:t>风险测评书（自然人）</w:t>
      </w:r>
    </w:p>
    <w:p>
      <w:pPr>
        <w:widowControl/>
        <w:ind w:firstLine="420" w:firstLineChars="200"/>
        <w:jc w:val="left"/>
        <w:rPr>
          <w:rFonts w:ascii="微软雅黑" w:hAnsi="微软雅黑" w:eastAsia="微软雅黑" w:cs="Times New Roman"/>
          <w:b/>
          <w:szCs w:val="24"/>
        </w:rPr>
      </w:pPr>
      <w:r>
        <w:rPr>
          <w:rFonts w:hint="eastAsia" w:ascii="微软雅黑" w:hAnsi="微软雅黑" w:eastAsia="微软雅黑" w:cs="Times New Roman"/>
          <w:b/>
          <w:szCs w:val="24"/>
        </w:rPr>
        <w:t>风险提示：证券投资可能获得比较高的投资收益，但也存在比较大的投资风险，请您根据自身的风险承受能力，审慎作出投资决定。</w:t>
      </w:r>
    </w:p>
    <w:p>
      <w:pPr>
        <w:widowControl/>
        <w:jc w:val="left"/>
        <w:rPr>
          <w:rFonts w:ascii="微软雅黑" w:hAnsi="微软雅黑" w:eastAsia="微软雅黑" w:cs="Times New Roman"/>
          <w:szCs w:val="24"/>
        </w:rPr>
      </w:pP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 xml:space="preserve">尊敬的投资者： </w:t>
      </w:r>
    </w:p>
    <w:p>
      <w:pPr>
        <w:widowControl/>
        <w:ind w:firstLine="420" w:firstLineChars="200"/>
        <w:jc w:val="left"/>
        <w:rPr>
          <w:rFonts w:ascii="微软雅黑" w:hAnsi="微软雅黑" w:eastAsia="微软雅黑" w:cs="Times New Roman"/>
          <w:szCs w:val="24"/>
        </w:rPr>
      </w:pPr>
      <w:r>
        <w:rPr>
          <w:rFonts w:hint="eastAsia" w:ascii="微软雅黑" w:hAnsi="微软雅黑" w:eastAsia="微软雅黑" w:cs="Times New Roman"/>
          <w:szCs w:val="24"/>
        </w:rPr>
        <w:t xml:space="preserve">为了便于您了解自身的风险承受能力，选择合适的投资产品和服务，请您填写以下风险承受能力评估问卷。下列问题可协助评估您对投资产品和服务的风险承受能力，请您根据自身情况认真选择。评估结果仅供参考，不构成投资建议。为了及时了解您的风险承受能力，我们建议您持续做好动态评估。我们承诺对您的所有个人资料保密。 </w:t>
      </w:r>
    </w:p>
    <w:p>
      <w:pPr>
        <w:widowControl/>
        <w:ind w:firstLine="480" w:firstLineChars="200"/>
        <w:jc w:val="left"/>
        <w:rPr>
          <w:rFonts w:ascii="仿宋" w:hAnsi="仿宋" w:eastAsia="仿宋" w:cs="宋体"/>
          <w:color w:val="000000"/>
          <w:kern w:val="0"/>
          <w:sz w:val="24"/>
          <w:szCs w:val="24"/>
        </w:rPr>
      </w:pPr>
    </w:p>
    <w:p>
      <w:pPr>
        <w:widowControl/>
        <w:jc w:val="left"/>
        <w:rPr>
          <w:rFonts w:ascii="仿宋" w:hAnsi="仿宋" w:eastAsia="仿宋" w:cs="宋体"/>
          <w:b/>
          <w:color w:val="000000"/>
          <w:kern w:val="0"/>
          <w:sz w:val="24"/>
          <w:szCs w:val="24"/>
        </w:rPr>
      </w:pPr>
      <w:r>
        <w:rPr>
          <w:rFonts w:hint="eastAsia" w:ascii="微软雅黑" w:hAnsi="微软雅黑" w:eastAsia="微软雅黑" w:cs="Times New Roman"/>
          <w:b/>
          <w:szCs w:val="24"/>
        </w:rPr>
        <w:t>1.请问您的年龄处于：</w:t>
      </w:r>
      <w:r>
        <w:rPr>
          <w:rFonts w:hint="eastAsia" w:ascii="仿宋" w:hAnsi="仿宋" w:eastAsia="仿宋" w:cs="Arial"/>
          <w:b/>
          <w:color w:val="000000"/>
          <w:kern w:val="0"/>
          <w:sz w:val="24"/>
          <w:szCs w:val="24"/>
        </w:rPr>
        <w:t xml:space="preserve"> </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A．30岁以下； B．31-40岁； C．41-50岁； D．51-60岁； E．60岁以上。</w:t>
      </w:r>
    </w:p>
    <w:p>
      <w:pPr>
        <w:widowControl/>
        <w:jc w:val="left"/>
        <w:rPr>
          <w:rFonts w:ascii="微软雅黑" w:hAnsi="微软雅黑" w:eastAsia="微软雅黑" w:cs="Times New Roman"/>
          <w:b/>
          <w:szCs w:val="24"/>
        </w:rPr>
      </w:pPr>
      <w:r>
        <w:rPr>
          <w:rFonts w:hint="eastAsia" w:ascii="微软雅黑" w:hAnsi="微软雅黑" w:eastAsia="微软雅黑" w:cs="Times New Roman"/>
          <w:b/>
          <w:szCs w:val="24"/>
        </w:rPr>
        <w:t>2.您家庭预计进行证券投资的资金占家庭现有总资产(不含自住、自用房产及汽车等固定资产)的比例是：</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A．70%以上； B．50%-70% ；C．30%－50%； D．10%－30%； E．10%以下。</w:t>
      </w:r>
    </w:p>
    <w:p>
      <w:pPr>
        <w:widowControl/>
        <w:numPr>
          <w:ilvl w:val="0"/>
          <w:numId w:val="2"/>
        </w:numPr>
        <w:jc w:val="left"/>
        <w:rPr>
          <w:rFonts w:ascii="微软雅黑" w:hAnsi="微软雅黑" w:eastAsia="微软雅黑" w:cs="Times New Roman"/>
          <w:b/>
          <w:szCs w:val="24"/>
        </w:rPr>
      </w:pPr>
      <w:r>
        <w:rPr>
          <w:rFonts w:hint="eastAsia" w:ascii="微软雅黑" w:hAnsi="微软雅黑" w:eastAsia="微软雅黑" w:cs="Times New Roman"/>
          <w:b/>
          <w:szCs w:val="24"/>
        </w:rPr>
        <w:t>您可用于投资的资产数额（包括金融资产和不动产）为：</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A. 1万（含）-5万元（不含）人民币；</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B. 5万（含）-10万元（不含）人民币；</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C. 10万（含）-100万元（不含）人民币；</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D. 100万（含）-1000万元（不含）人民币；</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E. 1000万元（含）人民币以上。</w:t>
      </w:r>
    </w:p>
    <w:p>
      <w:pPr>
        <w:widowControl/>
        <w:jc w:val="left"/>
        <w:rPr>
          <w:rFonts w:ascii="微软雅黑" w:hAnsi="微软雅黑" w:eastAsia="微软雅黑" w:cs="Times New Roman"/>
          <w:b/>
          <w:szCs w:val="24"/>
        </w:rPr>
      </w:pPr>
      <w:r>
        <w:rPr>
          <w:rFonts w:hint="eastAsia" w:ascii="微软雅黑" w:hAnsi="微软雅黑" w:eastAsia="微软雅黑" w:cs="Times New Roman"/>
          <w:b/>
          <w:szCs w:val="24"/>
        </w:rPr>
        <w:t>4.进行一项重大投资后，您通常会觉得：</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A．很高兴，对自己的决定很有信心；</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B．轻松，基本持乐观态度；</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C．基本没什么影响；</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D．比较担心投资结果；</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E．非常担心投资结果。</w:t>
      </w:r>
    </w:p>
    <w:p>
      <w:pPr>
        <w:widowControl/>
        <w:jc w:val="left"/>
        <w:rPr>
          <w:rFonts w:ascii="微软雅黑" w:hAnsi="微软雅黑" w:eastAsia="微软雅黑" w:cs="Times New Roman"/>
          <w:b/>
          <w:szCs w:val="24"/>
        </w:rPr>
      </w:pPr>
      <w:r>
        <w:rPr>
          <w:rFonts w:hint="eastAsia" w:ascii="微软雅黑" w:hAnsi="微软雅黑" w:eastAsia="微软雅黑" w:cs="Times New Roman"/>
          <w:b/>
          <w:szCs w:val="24"/>
        </w:rPr>
        <w:t>5.如果您需要把大量现金整天携带在身的话，您是否会感到：</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A．非常焦虑；</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B．有点焦虑；</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C．完全不会焦虑。</w:t>
      </w:r>
    </w:p>
    <w:p>
      <w:pPr>
        <w:widowControl/>
        <w:jc w:val="left"/>
        <w:rPr>
          <w:rFonts w:ascii="微软雅黑" w:hAnsi="微软雅黑" w:eastAsia="微软雅黑" w:cs="Times New Roman"/>
          <w:b/>
          <w:szCs w:val="24"/>
        </w:rPr>
      </w:pPr>
      <w:r>
        <w:rPr>
          <w:rFonts w:hint="eastAsia" w:ascii="微软雅黑" w:hAnsi="微软雅黑" w:eastAsia="微软雅黑" w:cs="Times New Roman"/>
          <w:b/>
          <w:szCs w:val="24"/>
        </w:rPr>
        <w:t>6. 您对投资所能容忍的亏损范围：</w:t>
      </w:r>
      <w:r>
        <w:rPr>
          <w:rFonts w:ascii="微软雅黑" w:hAnsi="微软雅黑" w:eastAsia="微软雅黑" w:cs="Times New Roman"/>
          <w:b/>
          <w:szCs w:val="24"/>
        </w:rPr>
        <w:t xml:space="preserve"> </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A．25%（含）以上；</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B．15%（含）-25%；</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C．10%（含）-15%；</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D．0-10%；</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E．不能容忍任何损失。</w:t>
      </w:r>
    </w:p>
    <w:p>
      <w:pPr>
        <w:widowControl/>
        <w:jc w:val="left"/>
        <w:rPr>
          <w:rFonts w:ascii="微软雅黑" w:hAnsi="微软雅黑" w:eastAsia="微软雅黑" w:cs="Times New Roman"/>
          <w:b/>
          <w:szCs w:val="24"/>
        </w:rPr>
      </w:pPr>
      <w:r>
        <w:rPr>
          <w:rFonts w:hint="eastAsia" w:ascii="微软雅黑" w:hAnsi="微软雅黑" w:eastAsia="微软雅黑" w:cs="Times New Roman"/>
          <w:b/>
          <w:szCs w:val="24"/>
        </w:rPr>
        <w:t>7. 对于投资资产价值的波动，您认为：</w:t>
      </w:r>
      <w:r>
        <w:rPr>
          <w:rFonts w:ascii="微软雅黑" w:hAnsi="微软雅黑" w:eastAsia="微软雅黑" w:cs="Times New Roman"/>
          <w:b/>
          <w:szCs w:val="24"/>
        </w:rPr>
        <w:t xml:space="preserve"> </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A．再大波动都能接受</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B．担心但还能接受亏损</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C．能接受轻微波动</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D．关心资产保值多过增值</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E．不能接受任何波动</w:t>
      </w:r>
    </w:p>
    <w:p>
      <w:pPr>
        <w:widowControl/>
        <w:jc w:val="left"/>
        <w:rPr>
          <w:rFonts w:ascii="仿宋" w:hAnsi="仿宋" w:eastAsia="仿宋" w:cs="Times New Roman"/>
          <w:b/>
          <w:sz w:val="24"/>
          <w:szCs w:val="24"/>
        </w:rPr>
      </w:pPr>
      <w:r>
        <w:rPr>
          <w:rFonts w:hint="eastAsia" w:ascii="微软雅黑" w:hAnsi="微软雅黑" w:eastAsia="微软雅黑" w:cs="Times New Roman"/>
          <w:b/>
          <w:szCs w:val="24"/>
        </w:rPr>
        <w:t xml:space="preserve">8.假设有两种不同的投资：投资A预期获得5%的收益，有可能承担非常小的损失；投资B预期获得20%的收益，但有可能面临25%甚至更高的亏损。您将您的投资资产分配为：  </w:t>
      </w:r>
      <w:r>
        <w:rPr>
          <w:rFonts w:hint="eastAsia" w:ascii="仿宋" w:hAnsi="仿宋" w:eastAsia="仿宋" w:cs="Times New Roman"/>
          <w:b/>
          <w:sz w:val="24"/>
          <w:szCs w:val="24"/>
        </w:rPr>
        <w:t xml:space="preserve">   </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A．全部投资于A；</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B．大部分投资于A；</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C．两种投资各一半；</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D．大部分投资于B；</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E．全部投资于B。</w:t>
      </w:r>
    </w:p>
    <w:p>
      <w:pPr>
        <w:widowControl/>
        <w:jc w:val="left"/>
        <w:rPr>
          <w:rFonts w:ascii="微软雅黑" w:hAnsi="微软雅黑" w:eastAsia="微软雅黑" w:cs="Times New Roman"/>
          <w:b/>
          <w:szCs w:val="24"/>
        </w:rPr>
      </w:pPr>
      <w:r>
        <w:rPr>
          <w:rFonts w:hint="eastAsia" w:ascii="微软雅黑" w:hAnsi="微软雅黑" w:eastAsia="微软雅黑" w:cs="Times New Roman"/>
          <w:b/>
          <w:szCs w:val="24"/>
        </w:rPr>
        <w:t>9.当您进行投资时，您的首要目标是：</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A．资产保值，我不愿意承担任何投资风险；</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B．尽可能保证本金安全，不在乎收益率比较低；</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C．产生较多的收益，可以承担一定的投资风险；</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D．实现资产大幅增长，愿意承担很大的投资风险。</w:t>
      </w:r>
    </w:p>
    <w:p>
      <w:pPr>
        <w:widowControl/>
        <w:jc w:val="left"/>
        <w:rPr>
          <w:rFonts w:ascii="微软雅黑" w:hAnsi="微软雅黑" w:eastAsia="微软雅黑" w:cs="Times New Roman"/>
          <w:b/>
          <w:szCs w:val="24"/>
        </w:rPr>
      </w:pPr>
      <w:r>
        <w:rPr>
          <w:rFonts w:hint="eastAsia" w:ascii="微软雅黑" w:hAnsi="微软雅黑" w:eastAsia="微软雅黑" w:cs="Times New Roman"/>
          <w:b/>
          <w:szCs w:val="24"/>
        </w:rPr>
        <w:t>10.您的投资经验可以被概括为：</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A．有限：除银行活期账户和定期存款外，我基本没有其他投资经验；</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B．一般：除银行活期账户和定期存款外，我购买过基金、保险等理财产品，但还需要进一步的指导；</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C．丰富：我是一位有经验的投资者，参与过股票、基金等产品的交易，并倾向于自己做出投资决策；</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D．非常丰富：我是一位非常有经验的投资者，参与过权证、期货或创业板等高风险产品的交易。</w:t>
      </w:r>
    </w:p>
    <w:p>
      <w:pPr>
        <w:widowControl/>
        <w:jc w:val="left"/>
        <w:rPr>
          <w:rFonts w:ascii="微软雅黑" w:hAnsi="微软雅黑" w:eastAsia="微软雅黑" w:cs="Times New Roman"/>
          <w:b/>
          <w:szCs w:val="24"/>
        </w:rPr>
      </w:pPr>
    </w:p>
    <w:p>
      <w:pPr>
        <w:widowControl/>
        <w:jc w:val="left"/>
        <w:rPr>
          <w:rFonts w:ascii="微软雅黑" w:hAnsi="微软雅黑" w:eastAsia="微软雅黑" w:cs="Times New Roman"/>
          <w:b/>
          <w:szCs w:val="24"/>
        </w:rPr>
      </w:pPr>
    </w:p>
    <w:p>
      <w:pPr>
        <w:widowControl/>
        <w:jc w:val="left"/>
        <w:rPr>
          <w:rFonts w:ascii="微软雅黑" w:hAnsi="微软雅黑" w:eastAsia="微软雅黑" w:cs="Times New Roman"/>
          <w:b/>
          <w:szCs w:val="24"/>
        </w:rPr>
      </w:pPr>
      <w:r>
        <w:rPr>
          <w:rFonts w:hint="eastAsia" w:ascii="微软雅黑" w:hAnsi="微软雅黑" w:eastAsia="微软雅黑" w:cs="Times New Roman"/>
          <w:b/>
          <w:szCs w:val="24"/>
        </w:rPr>
        <w:t>11.您是否了解证券市场的相关知识：</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A．从来没有参与过证券交易，对投资知识完全不了解；</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B．学习过证券投资知识，但没有实际操作经验，不懂投资技巧；</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C．了解证券市场的投资知识，并且有过实际操作经验，懂得一些投资技巧；</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D．参与过多年的证券交易，投资知识丰富，具有一定的专业水平。</w:t>
      </w:r>
    </w:p>
    <w:p>
      <w:pPr>
        <w:widowControl/>
        <w:jc w:val="left"/>
        <w:rPr>
          <w:rFonts w:ascii="微软雅黑" w:hAnsi="微软雅黑" w:eastAsia="微软雅黑" w:cs="Times New Roman"/>
          <w:b/>
          <w:szCs w:val="24"/>
        </w:rPr>
      </w:pPr>
      <w:r>
        <w:rPr>
          <w:rFonts w:hint="eastAsia" w:ascii="微软雅黑" w:hAnsi="微软雅黑" w:eastAsia="微软雅黑" w:cs="Times New Roman"/>
          <w:b/>
          <w:szCs w:val="24"/>
        </w:rPr>
        <w:t>12.您用于证券投资的资金不会用作其它用途的时间段为：</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A．短期——0到1年；</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B．中期——1到5年；</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C．长期——5年以上。</w:t>
      </w:r>
    </w:p>
    <w:p>
      <w:pPr>
        <w:widowControl/>
        <w:jc w:val="left"/>
        <w:rPr>
          <w:rFonts w:ascii="仿宋" w:hAnsi="宋体" w:eastAsia="仿宋" w:cs="宋体"/>
          <w:color w:val="000000"/>
          <w:kern w:val="0"/>
          <w:sz w:val="24"/>
          <w:szCs w:val="24"/>
        </w:rPr>
      </w:pPr>
      <w:r>
        <w:rPr>
          <w:rFonts w:hint="eastAsia" w:ascii="仿宋" w:hAnsi="宋体" w:eastAsia="仿宋" w:cs="宋体"/>
          <w:color w:val="000000"/>
          <w:kern w:val="0"/>
          <w:sz w:val="24"/>
          <w:szCs w:val="24"/>
        </w:rPr>
        <w:t> </w:t>
      </w:r>
    </w:p>
    <w:p>
      <w:pPr>
        <w:widowControl/>
        <w:jc w:val="left"/>
        <w:rPr>
          <w:rFonts w:ascii="仿宋" w:hAnsi="宋体" w:eastAsia="仿宋" w:cs="宋体"/>
          <w:color w:val="000000"/>
          <w:kern w:val="0"/>
          <w:sz w:val="24"/>
          <w:szCs w:val="24"/>
        </w:rPr>
      </w:pPr>
    </w:p>
    <w:p>
      <w:pPr>
        <w:widowControl/>
        <w:jc w:val="left"/>
        <w:rPr>
          <w:rFonts w:ascii="微软雅黑" w:hAnsi="微软雅黑" w:eastAsia="微软雅黑" w:cs="Times New Roman"/>
          <w:b/>
          <w:bCs/>
          <w:szCs w:val="24"/>
        </w:rPr>
      </w:pPr>
      <w:r>
        <w:rPr>
          <w:rFonts w:hint="eastAsia" w:ascii="微软雅黑" w:hAnsi="微软雅黑" w:eastAsia="微软雅黑" w:cs="Times New Roman"/>
          <w:b/>
          <w:bCs/>
          <w:szCs w:val="24"/>
        </w:rPr>
        <w:t>风险承受能力评估结果：</w:t>
      </w:r>
    </w:p>
    <w:p>
      <w:pPr>
        <w:widowControl/>
        <w:jc w:val="left"/>
        <w:rPr>
          <w:rFonts w:ascii="微软雅黑" w:hAnsi="微软雅黑" w:eastAsia="微软雅黑" w:cs="Times New Roman"/>
          <w:b/>
          <w:bCs/>
          <w:szCs w:val="24"/>
        </w:rPr>
      </w:pP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t>得分：</w:t>
      </w:r>
      <w:r>
        <w:rPr>
          <w:rFonts w:hint="eastAsia" w:ascii="微软雅黑" w:hAnsi="微软雅黑" w:eastAsia="微软雅黑" w:cs="Times New Roman"/>
          <w:szCs w:val="24"/>
          <w:u w:val="single"/>
        </w:rPr>
        <w:t xml:space="preserve">                  </w:t>
      </w:r>
      <w:r>
        <w:rPr>
          <w:rFonts w:hint="eastAsia" w:ascii="微软雅黑" w:hAnsi="微软雅黑" w:eastAsia="微软雅黑" w:cs="Times New Roman"/>
          <w:szCs w:val="24"/>
        </w:rPr>
        <w:t xml:space="preserve">      </w:t>
      </w:r>
    </w:p>
    <w:p>
      <w:pPr>
        <w:widowControl/>
        <w:jc w:val="left"/>
        <w:rPr>
          <w:rFonts w:ascii="微软雅黑" w:hAnsi="微软雅黑" w:eastAsia="微软雅黑" w:cs="Times New Roman"/>
          <w:szCs w:val="24"/>
        </w:rPr>
      </w:pPr>
      <w:r>
        <w:rPr>
          <w:rFonts w:hint="eastAsia" w:ascii="微软雅黑" w:hAnsi="微软雅黑" w:eastAsia="微软雅黑" w:cs="Times New Roman"/>
          <w:szCs w:val="24"/>
        </w:rPr>
        <w:sym w:font="Wingdings 2" w:char="00A3"/>
      </w:r>
      <w:r>
        <w:rPr>
          <w:rFonts w:hint="eastAsia" w:ascii="微软雅黑" w:hAnsi="微软雅黑" w:eastAsia="微软雅黑" w:cs="Times New Roman"/>
          <w:szCs w:val="24"/>
        </w:rPr>
        <w:t xml:space="preserve">合格       </w:t>
      </w:r>
      <w:r>
        <w:rPr>
          <w:rFonts w:hint="eastAsia" w:ascii="微软雅黑" w:hAnsi="微软雅黑" w:eastAsia="微软雅黑" w:cs="Times New Roman"/>
          <w:szCs w:val="24"/>
        </w:rPr>
        <w:sym w:font="Wingdings 2" w:char="00A3"/>
      </w:r>
      <w:r>
        <w:rPr>
          <w:rFonts w:hint="eastAsia" w:ascii="微软雅黑" w:hAnsi="微软雅黑" w:eastAsia="微软雅黑" w:cs="Times New Roman"/>
          <w:szCs w:val="24"/>
        </w:rPr>
        <w:t xml:space="preserve">不合格     </w:t>
      </w:r>
    </w:p>
    <w:p>
      <w:pPr>
        <w:widowControl/>
        <w:jc w:val="left"/>
        <w:rPr>
          <w:rFonts w:ascii="仿宋" w:hAnsi="仿宋" w:eastAsia="仿宋" w:cs="宋体"/>
          <w:color w:val="000000"/>
          <w:kern w:val="0"/>
          <w:sz w:val="24"/>
          <w:szCs w:val="24"/>
        </w:rPr>
      </w:pPr>
      <w:r>
        <w:rPr>
          <w:rFonts w:hint="eastAsia" w:ascii="仿宋" w:hAnsi="宋体" w:eastAsia="仿宋" w:cs="宋体"/>
          <w:color w:val="000000"/>
          <w:kern w:val="0"/>
          <w:sz w:val="24"/>
          <w:szCs w:val="24"/>
        </w:rPr>
        <w:t> </w:t>
      </w:r>
    </w:p>
    <w:p>
      <w:pPr>
        <w:widowControl/>
        <w:jc w:val="left"/>
        <w:rPr>
          <w:rFonts w:ascii="微软雅黑" w:hAnsi="微软雅黑" w:eastAsia="微软雅黑" w:cs="Times New Roman"/>
          <w:szCs w:val="24"/>
        </w:rPr>
      </w:pPr>
      <w:r>
        <w:rPr>
          <w:rFonts w:hint="eastAsia" w:ascii="微软雅黑" w:hAnsi="微软雅黑" w:eastAsia="微软雅黑" w:cs="Times New Roman"/>
          <w:b/>
          <w:szCs w:val="24"/>
        </w:rPr>
        <w:t>投资者签署：</w:t>
      </w:r>
      <w:r>
        <w:rPr>
          <w:rFonts w:hint="eastAsia" w:ascii="微软雅黑" w:hAnsi="微软雅黑" w:eastAsia="微软雅黑" w:cs="Times New Roman"/>
          <w:szCs w:val="24"/>
        </w:rPr>
        <w:t>依据诚实守信的原则，本人如实填写了本问卷。本人已知晓自己的风险承受能力评估结果，并在做出投资决策前将认真阅读相关风险揭示书，了解投资产品和服务的风险级别。</w:t>
      </w:r>
    </w:p>
    <w:p>
      <w:pPr>
        <w:widowControl/>
        <w:ind w:firstLine="3885" w:firstLineChars="1850"/>
        <w:jc w:val="left"/>
        <w:rPr>
          <w:rFonts w:ascii="仿宋" w:hAnsi="仿宋" w:eastAsia="仿宋" w:cs="宋体"/>
          <w:color w:val="000000"/>
          <w:kern w:val="0"/>
          <w:sz w:val="24"/>
          <w:szCs w:val="24"/>
        </w:rPr>
      </w:pPr>
      <w:r>
        <w:rPr>
          <w:rFonts w:hint="eastAsia" w:ascii="微软雅黑" w:hAnsi="微软雅黑" w:eastAsia="微软雅黑" w:cs="Times New Roman"/>
          <w:szCs w:val="24"/>
        </w:rPr>
        <w:t>投资者确认签字：</w:t>
      </w:r>
      <w:r>
        <w:rPr>
          <w:rFonts w:hint="eastAsia" w:ascii="仿宋" w:hAnsi="仿宋" w:eastAsia="仿宋" w:cs="宋体"/>
          <w:color w:val="000000"/>
          <w:kern w:val="0"/>
          <w:sz w:val="24"/>
          <w:szCs w:val="24"/>
          <w:u w:val="single"/>
        </w:rPr>
        <w:t xml:space="preserve">　　　         　　 </w:t>
      </w:r>
    </w:p>
    <w:p>
      <w:pPr>
        <w:widowControl/>
        <w:ind w:firstLine="3885" w:firstLineChars="1850"/>
        <w:jc w:val="left"/>
        <w:rPr>
          <w:rFonts w:ascii="仿宋" w:hAnsi="仿宋" w:eastAsia="仿宋" w:cs="宋体"/>
          <w:color w:val="000000"/>
          <w:kern w:val="0"/>
          <w:sz w:val="24"/>
          <w:szCs w:val="24"/>
        </w:rPr>
      </w:pPr>
      <w:r>
        <w:rPr>
          <w:rFonts w:hint="eastAsia" w:ascii="微软雅黑" w:hAnsi="微软雅黑" w:eastAsia="微软雅黑" w:cs="Times New Roman"/>
          <w:szCs w:val="24"/>
        </w:rPr>
        <w:t>代办人确认签字：</w:t>
      </w:r>
      <w:r>
        <w:rPr>
          <w:rFonts w:hint="eastAsia" w:ascii="仿宋" w:hAnsi="仿宋" w:eastAsia="仿宋" w:cs="宋体"/>
          <w:color w:val="000000"/>
          <w:kern w:val="0"/>
          <w:sz w:val="24"/>
          <w:szCs w:val="24"/>
          <w:u w:val="single"/>
        </w:rPr>
        <w:t>　     　　　     　</w:t>
      </w:r>
    </w:p>
    <w:p>
      <w:pPr>
        <w:ind w:firstLine="3990" w:firstLineChars="1900"/>
        <w:rPr>
          <w:rFonts w:ascii="仿宋" w:hAnsi="仿宋" w:eastAsia="仿宋" w:cs="宋体"/>
          <w:color w:val="000000"/>
          <w:kern w:val="0"/>
          <w:sz w:val="24"/>
          <w:szCs w:val="24"/>
          <w:u w:val="single"/>
        </w:rPr>
      </w:pPr>
      <w:r>
        <w:rPr>
          <w:rFonts w:hint="eastAsia" w:ascii="微软雅黑" w:hAnsi="微软雅黑" w:eastAsia="微软雅黑"/>
          <w:szCs w:val="21"/>
        </w:rPr>
        <w:t>评估</w:t>
      </w:r>
      <w:r>
        <w:rPr>
          <w:rFonts w:ascii="微软雅黑" w:hAnsi="微软雅黑" w:eastAsia="微软雅黑"/>
          <w:szCs w:val="21"/>
        </w:rPr>
        <w:t>日期：</w:t>
      </w:r>
      <w:r>
        <w:rPr>
          <w:rFonts w:hint="eastAsia" w:ascii="微软雅黑" w:hAnsi="微软雅黑" w:eastAsia="微软雅黑"/>
          <w:szCs w:val="21"/>
        </w:rPr>
        <w:t xml:space="preserve">    年     月     日</w:t>
      </w:r>
    </w:p>
    <w:p>
      <w:pPr>
        <w:widowControl/>
        <w:jc w:val="left"/>
        <w:rPr>
          <w:rFonts w:ascii="仿宋" w:hAnsi="仿宋" w:eastAsia="仿宋" w:cs="宋体"/>
          <w:color w:val="000000"/>
          <w:kern w:val="0"/>
          <w:sz w:val="24"/>
          <w:szCs w:val="24"/>
          <w:u w:val="single"/>
        </w:rPr>
      </w:pPr>
    </w:p>
    <w:p>
      <w:pPr>
        <w:widowControl/>
        <w:jc w:val="left"/>
        <w:rPr>
          <w:rFonts w:ascii="仿宋" w:hAnsi="仿宋" w:eastAsia="仿宋" w:cs="宋体"/>
          <w:color w:val="000000"/>
          <w:kern w:val="0"/>
          <w:sz w:val="24"/>
          <w:szCs w:val="24"/>
          <w:u w:val="single"/>
        </w:rPr>
      </w:pPr>
    </w:p>
    <w:p>
      <w:pPr>
        <w:spacing w:line="510" w:lineRule="exact"/>
        <w:jc w:val="both"/>
        <w:rPr>
          <w:rFonts w:ascii="微软雅黑" w:hAnsi="微软雅黑" w:eastAsia="微软雅黑"/>
          <w:b/>
          <w:sz w:val="36"/>
          <w:szCs w:val="36"/>
        </w:rPr>
      </w:pPr>
    </w:p>
    <w:p>
      <w:pPr>
        <w:spacing w:line="510" w:lineRule="exact"/>
        <w:jc w:val="center"/>
        <w:rPr>
          <w:rFonts w:ascii="微软雅黑" w:hAnsi="微软雅黑" w:eastAsia="微软雅黑"/>
          <w:b/>
          <w:sz w:val="28"/>
          <w:szCs w:val="28"/>
        </w:rPr>
      </w:pPr>
      <w:r>
        <w:rPr>
          <w:rFonts w:ascii="微软雅黑" w:hAnsi="微软雅黑" w:eastAsia="微软雅黑"/>
          <w:szCs w:val="21"/>
        </w:rPr>
        <w:br w:type="textWrapping"/>
      </w:r>
      <w:r>
        <w:rPr>
          <w:rFonts w:hint="eastAsia" w:ascii="微软雅黑" w:hAnsi="微软雅黑" w:eastAsia="微软雅黑"/>
          <w:b/>
          <w:sz w:val="36"/>
          <w:szCs w:val="36"/>
        </w:rPr>
        <w:t> 银行资金账户指定确认书</w:t>
      </w:r>
    </w:p>
    <w:p>
      <w:pPr>
        <w:spacing w:line="510" w:lineRule="exact"/>
        <w:jc w:val="center"/>
        <w:rPr>
          <w:rFonts w:ascii="微软雅黑" w:hAnsi="微软雅黑" w:eastAsia="微软雅黑"/>
          <w:b/>
          <w:sz w:val="28"/>
          <w:szCs w:val="28"/>
        </w:rPr>
      </w:pPr>
    </w:p>
    <w:p>
      <w:pPr>
        <w:widowControl/>
        <w:ind w:left="420" w:hanging="420" w:hangingChars="200"/>
        <w:jc w:val="left"/>
        <w:rPr>
          <w:rFonts w:ascii="微软雅黑" w:hAnsi="微软雅黑" w:eastAsia="微软雅黑"/>
          <w:b/>
          <w:bCs/>
          <w:szCs w:val="21"/>
        </w:rPr>
      </w:pPr>
      <w:r>
        <w:rPr>
          <w:rFonts w:hint="eastAsia" w:ascii="微软雅黑" w:hAnsi="微软雅黑" w:eastAsia="微软雅黑"/>
          <w:b/>
          <w:bCs/>
          <w:szCs w:val="21"/>
        </w:rPr>
        <w:t>天府（四川）联合股权交易中心股份有限公司：</w:t>
      </w:r>
    </w:p>
    <w:p>
      <w:pPr>
        <w:widowControl/>
        <w:ind w:left="837" w:leftChars="200" w:hanging="417" w:hangingChars="199"/>
        <w:jc w:val="left"/>
        <w:rPr>
          <w:rFonts w:ascii="微软雅黑" w:hAnsi="微软雅黑" w:eastAsia="微软雅黑"/>
          <w:szCs w:val="21"/>
        </w:rPr>
      </w:pPr>
      <w:r>
        <w:rPr>
          <w:rFonts w:hint="eastAsia" w:ascii="微软雅黑" w:hAnsi="微软雅黑" w:eastAsia="微软雅黑"/>
          <w:szCs w:val="21"/>
        </w:rPr>
        <w:t>一、我方确认使用以下银行资金账户作为我方与贵方资金划付唯一的指定账户（即“资金结算账户”），并与我方在贵方开立的投资者账户实名对应。</w:t>
      </w:r>
    </w:p>
    <w:p>
      <w:pPr>
        <w:widowControl/>
        <w:ind w:left="420" w:leftChars="200"/>
        <w:jc w:val="left"/>
        <w:rPr>
          <w:rFonts w:ascii="微软雅黑" w:hAnsi="微软雅黑" w:eastAsia="微软雅黑"/>
          <w:szCs w:val="21"/>
        </w:rPr>
      </w:pPr>
      <w:r>
        <w:rPr>
          <w:rFonts w:hint="eastAsia" w:ascii="微软雅黑" w:hAnsi="微软雅黑" w:eastAsia="微软雅黑"/>
          <w:szCs w:val="21"/>
        </w:rPr>
        <w:t>二、我方若需变更资金结算账户时，将向贵中心提交书面变更申请。</w:t>
      </w:r>
    </w:p>
    <w:p>
      <w:pPr>
        <w:widowControl/>
        <w:ind w:left="840" w:leftChars="200" w:hanging="420" w:hangingChars="200"/>
        <w:jc w:val="left"/>
        <w:rPr>
          <w:rFonts w:ascii="微软雅黑" w:hAnsi="微软雅黑" w:eastAsia="微软雅黑"/>
          <w:szCs w:val="21"/>
        </w:rPr>
      </w:pPr>
      <w:r>
        <w:rPr>
          <w:rFonts w:hint="eastAsia" w:ascii="微软雅黑" w:hAnsi="微软雅黑" w:eastAsia="微软雅黑"/>
          <w:szCs w:val="21"/>
        </w:rPr>
        <w:t>三、我方承诺，该账户为我方真实、有效、合法持有的银行资金账户。如因我方资金结算账户信息错误或其他我方原因导致的任何风险与法律责任，一律由我方承担。</w:t>
      </w:r>
      <w:r>
        <w:rPr>
          <w:rFonts w:hint="eastAsia" w:ascii="微软雅黑" w:hAnsi="微软雅黑" w:eastAsia="微软雅黑"/>
          <w:szCs w:val="21"/>
        </w:rPr>
        <w:br w:type="textWrapping"/>
      </w:r>
      <w:r>
        <w:rPr>
          <w:rFonts w:ascii="微软雅黑" w:hAnsi="微软雅黑"/>
          <w:color w:val="666666"/>
          <w:szCs w:val="21"/>
        </w:rPr>
        <w:br w:type="textWrapping"/>
      </w:r>
    </w:p>
    <w:tbl>
      <w:tblPr>
        <w:tblStyle w:val="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19" w:type="dxa"/>
            <w:tcBorders>
              <w:tl2br w:val="nil"/>
              <w:tr2bl w:val="nil"/>
            </w:tcBorders>
            <w:vAlign w:val="center"/>
          </w:tcPr>
          <w:p>
            <w:pPr>
              <w:jc w:val="center"/>
              <w:rPr>
                <w:rFonts w:ascii="微软雅黑" w:hAnsi="微软雅黑"/>
                <w:szCs w:val="21"/>
              </w:rPr>
            </w:pPr>
            <w:r>
              <w:rPr>
                <w:rFonts w:hint="eastAsia" w:ascii="微软雅黑" w:hAnsi="微软雅黑" w:eastAsia="微软雅黑"/>
                <w:szCs w:val="21"/>
              </w:rPr>
              <w:t>开户银行</w:t>
            </w:r>
          </w:p>
        </w:tc>
        <w:tc>
          <w:tcPr>
            <w:tcW w:w="7403" w:type="dxa"/>
            <w:gridSpan w:val="22"/>
            <w:tcBorders>
              <w:tl2br w:val="nil"/>
              <w:tr2bl w:val="nil"/>
            </w:tcBorders>
            <w:vAlign w:val="center"/>
          </w:tcPr>
          <w:p>
            <w:pPr>
              <w:jc w:val="center"/>
              <w:rPr>
                <w:rFonts w:ascii="微软雅黑" w:hAnsi="微软雅黑"/>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19" w:type="dxa"/>
            <w:tcBorders>
              <w:tl2br w:val="nil"/>
              <w:tr2bl w:val="nil"/>
            </w:tcBorders>
            <w:vAlign w:val="center"/>
          </w:tcPr>
          <w:p>
            <w:pPr>
              <w:jc w:val="center"/>
              <w:rPr>
                <w:rFonts w:ascii="微软雅黑" w:hAnsi="微软雅黑"/>
                <w:szCs w:val="21"/>
              </w:rPr>
            </w:pPr>
            <w:r>
              <w:rPr>
                <w:rFonts w:hint="eastAsia" w:ascii="微软雅黑" w:hAnsi="微软雅黑" w:eastAsia="微软雅黑"/>
                <w:szCs w:val="21"/>
              </w:rPr>
              <w:t>账户名称</w:t>
            </w:r>
          </w:p>
        </w:tc>
        <w:tc>
          <w:tcPr>
            <w:tcW w:w="7403" w:type="dxa"/>
            <w:gridSpan w:val="22"/>
            <w:tcBorders>
              <w:tl2br w:val="nil"/>
              <w:tr2bl w:val="nil"/>
            </w:tcBorders>
            <w:vAlign w:val="center"/>
          </w:tcPr>
          <w:p>
            <w:pPr>
              <w:jc w:val="center"/>
              <w:rPr>
                <w:rFonts w:ascii="微软雅黑" w:hAnsi="微软雅黑"/>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19" w:type="dxa"/>
            <w:tcBorders>
              <w:tl2br w:val="nil"/>
              <w:tr2bl w:val="nil"/>
            </w:tcBorders>
            <w:vAlign w:val="center"/>
          </w:tcPr>
          <w:p>
            <w:pPr>
              <w:jc w:val="center"/>
              <w:rPr>
                <w:rFonts w:ascii="微软雅黑" w:hAnsi="微软雅黑"/>
                <w:szCs w:val="21"/>
              </w:rPr>
            </w:pPr>
            <w:r>
              <w:rPr>
                <w:rFonts w:hint="eastAsia" w:ascii="微软雅黑" w:hAnsi="微软雅黑" w:eastAsia="微软雅黑"/>
                <w:szCs w:val="21"/>
              </w:rPr>
              <w:t>账    号</w:t>
            </w: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47" w:type="dxa"/>
            <w:tcBorders>
              <w:tl2br w:val="nil"/>
              <w:tr2bl w:val="nil"/>
            </w:tcBorders>
            <w:vAlign w:val="center"/>
          </w:tcPr>
          <w:p>
            <w:pPr>
              <w:jc w:val="center"/>
              <w:rPr>
                <w:rFonts w:ascii="微软雅黑" w:hAnsi="微软雅黑"/>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19" w:type="dxa"/>
            <w:tcBorders>
              <w:tl2br w:val="nil"/>
              <w:tr2bl w:val="nil"/>
            </w:tcBorders>
            <w:vAlign w:val="center"/>
          </w:tcPr>
          <w:p>
            <w:pPr>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联行行号</w:t>
            </w:r>
            <w:bookmarkStart w:id="0" w:name="_GoBack"/>
            <w:bookmarkEnd w:id="0"/>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36" w:type="dxa"/>
            <w:tcBorders>
              <w:tl2br w:val="nil"/>
              <w:tr2bl w:val="nil"/>
            </w:tcBorders>
            <w:vAlign w:val="center"/>
          </w:tcPr>
          <w:p>
            <w:pPr>
              <w:jc w:val="center"/>
              <w:rPr>
                <w:rFonts w:ascii="微软雅黑" w:hAnsi="微软雅黑"/>
                <w:szCs w:val="21"/>
              </w:rPr>
            </w:pPr>
          </w:p>
        </w:tc>
        <w:tc>
          <w:tcPr>
            <w:tcW w:w="347" w:type="dxa"/>
            <w:tcBorders>
              <w:tl2br w:val="nil"/>
              <w:tr2bl w:val="nil"/>
            </w:tcBorders>
            <w:vAlign w:val="center"/>
          </w:tcPr>
          <w:p>
            <w:pPr>
              <w:jc w:val="center"/>
              <w:rPr>
                <w:rFonts w:ascii="微软雅黑" w:hAnsi="微软雅黑"/>
                <w:szCs w:val="21"/>
              </w:rPr>
            </w:pPr>
          </w:p>
        </w:tc>
      </w:tr>
    </w:tbl>
    <w:p>
      <w:pPr>
        <w:widowControl/>
        <w:ind w:firstLine="420" w:firstLineChars="200"/>
        <w:jc w:val="left"/>
        <w:rPr>
          <w:rFonts w:ascii="仿宋_GB2312" w:hAnsi="仿宋_GB2312" w:eastAsia="仿宋_GB2312" w:cs="仿宋_GB2312"/>
          <w:kern w:val="0"/>
          <w:sz w:val="32"/>
          <w:szCs w:val="32"/>
        </w:rPr>
      </w:pPr>
      <w:r>
        <w:rPr>
          <w:rFonts w:hint="eastAsia" w:ascii="微软雅黑" w:hAnsi="微软雅黑" w:eastAsia="微软雅黑"/>
          <w:szCs w:val="21"/>
        </w:rPr>
        <w:tab/>
      </w:r>
      <w:r>
        <w:rPr>
          <w:rFonts w:hint="eastAsia" w:ascii="微软雅黑" w:hAnsi="微软雅黑" w:eastAsia="微软雅黑"/>
          <w:szCs w:val="21"/>
        </w:rPr>
        <w:tab/>
      </w:r>
      <w:r>
        <w:rPr>
          <w:rFonts w:hint="eastAsia" w:ascii="微软雅黑" w:hAnsi="微软雅黑" w:eastAsia="微软雅黑"/>
          <w:szCs w:val="21"/>
        </w:rPr>
        <w:tab/>
      </w:r>
      <w:r>
        <w:rPr>
          <w:rFonts w:hint="eastAsia" w:ascii="微软雅黑" w:hAnsi="微软雅黑" w:eastAsia="微软雅黑"/>
          <w:szCs w:val="21"/>
        </w:rPr>
        <w:tab/>
      </w:r>
      <w:r>
        <w:rPr>
          <w:rFonts w:hint="eastAsia" w:ascii="微软雅黑" w:hAnsi="微软雅黑" w:eastAsia="微软雅黑"/>
          <w:szCs w:val="21"/>
        </w:rPr>
        <w:tab/>
      </w:r>
    </w:p>
    <w:p>
      <w:pPr>
        <w:widowControl/>
        <w:jc w:val="center"/>
        <w:rPr>
          <w:rFonts w:ascii="微软雅黑" w:hAnsi="微软雅黑" w:eastAsia="微软雅黑"/>
          <w:szCs w:val="21"/>
        </w:rPr>
      </w:pPr>
      <w:r>
        <w:rPr>
          <w:rFonts w:hint="eastAsia" w:ascii="仿宋_GB2312" w:hAnsi="仿宋_GB2312" w:eastAsia="仿宋_GB2312" w:cs="仿宋_GB2312"/>
          <w:kern w:val="0"/>
          <w:sz w:val="32"/>
          <w:szCs w:val="32"/>
        </w:rPr>
        <w:t xml:space="preserve">               </w:t>
      </w:r>
    </w:p>
    <w:p>
      <w:pPr>
        <w:ind w:firstLine="3265" w:firstLineChars="1555"/>
        <w:rPr>
          <w:rFonts w:asciiTheme="minorEastAsia" w:hAnsiTheme="minorEastAsia"/>
          <w:sz w:val="28"/>
          <w:szCs w:val="28"/>
          <w:u w:val="single"/>
        </w:rPr>
      </w:pPr>
      <w:r>
        <w:rPr>
          <w:rFonts w:hint="eastAsia" w:ascii="微软雅黑" w:hAnsi="微软雅黑" w:eastAsia="微软雅黑"/>
          <w:szCs w:val="21"/>
        </w:rPr>
        <w:t>投资者确认签字：</w:t>
      </w:r>
      <w:r>
        <w:rPr>
          <w:rFonts w:hint="eastAsia" w:asciiTheme="minorEastAsia" w:hAnsiTheme="minorEastAsia"/>
          <w:sz w:val="28"/>
          <w:szCs w:val="28"/>
          <w:u w:val="single"/>
        </w:rPr>
        <w:t xml:space="preserve">                     </w:t>
      </w:r>
    </w:p>
    <w:p>
      <w:pPr>
        <w:ind w:firstLine="3265" w:firstLineChars="1555"/>
        <w:rPr>
          <w:rFonts w:asciiTheme="minorEastAsia" w:hAnsiTheme="minorEastAsia"/>
          <w:sz w:val="28"/>
          <w:szCs w:val="28"/>
          <w:u w:val="single"/>
        </w:rPr>
      </w:pPr>
      <w:r>
        <w:rPr>
          <w:rFonts w:hint="eastAsia" w:ascii="微软雅黑" w:hAnsi="微软雅黑" w:eastAsia="微软雅黑"/>
          <w:szCs w:val="21"/>
        </w:rPr>
        <w:t>代办人确认</w:t>
      </w:r>
      <w:r>
        <w:rPr>
          <w:rFonts w:ascii="微软雅黑" w:hAnsi="微软雅黑" w:eastAsia="微软雅黑"/>
          <w:szCs w:val="21"/>
        </w:rPr>
        <w:t>签字</w:t>
      </w:r>
      <w:r>
        <w:rPr>
          <w:rFonts w:hint="eastAsia" w:ascii="微软雅黑" w:hAnsi="微软雅黑" w:eastAsia="微软雅黑"/>
          <w:szCs w:val="21"/>
        </w:rPr>
        <w:t>：</w:t>
      </w:r>
      <w:r>
        <w:rPr>
          <w:rFonts w:hint="eastAsia" w:asciiTheme="minorEastAsia" w:hAnsiTheme="minorEastAsia"/>
          <w:sz w:val="28"/>
          <w:szCs w:val="28"/>
          <w:u w:val="single"/>
        </w:rPr>
        <w:t xml:space="preserve">                     </w:t>
      </w:r>
    </w:p>
    <w:p>
      <w:pPr>
        <w:ind w:firstLine="3990" w:firstLineChars="1900"/>
        <w:rPr>
          <w:rFonts w:ascii="微软雅黑" w:hAnsi="微软雅黑" w:eastAsia="微软雅黑"/>
          <w:szCs w:val="21"/>
        </w:rPr>
      </w:pPr>
      <w:r>
        <w:rPr>
          <w:rFonts w:hint="eastAsia" w:ascii="微软雅黑" w:hAnsi="微软雅黑" w:eastAsia="微软雅黑"/>
          <w:szCs w:val="21"/>
        </w:rPr>
        <w:t>签署</w:t>
      </w:r>
      <w:r>
        <w:rPr>
          <w:rFonts w:ascii="微软雅黑" w:hAnsi="微软雅黑" w:eastAsia="微软雅黑"/>
          <w:szCs w:val="21"/>
        </w:rPr>
        <w:t>日期：</w:t>
      </w:r>
      <w:r>
        <w:rPr>
          <w:rFonts w:hint="eastAsia" w:ascii="微软雅黑" w:hAnsi="微软雅黑" w:eastAsia="微软雅黑"/>
          <w:szCs w:val="21"/>
        </w:rPr>
        <w:t xml:space="preserve">    年     月     日</w:t>
      </w:r>
    </w:p>
    <w:p>
      <w:pPr>
        <w:widowControl/>
        <w:jc w:val="center"/>
        <w:rPr>
          <w:rFonts w:ascii="仿宋" w:hAnsi="仿宋" w:eastAsia="仿宋" w:cs="宋体"/>
          <w:color w:val="000000"/>
          <w:kern w:val="0"/>
          <w:sz w:val="24"/>
          <w:szCs w:val="24"/>
          <w:u w:val="singl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eastAsiaTheme="minorEastAsia"/>
        <w:lang w:eastAsia="zh-CN"/>
      </w:rPr>
    </w:pPr>
    <w:r>
      <w:rPr>
        <w:rFonts w:hint="eastAsia" w:eastAsiaTheme="minorEastAsia"/>
        <w:lang w:eastAsia="zh-CN"/>
      </w:rPr>
      <w:drawing>
        <wp:inline distT="0" distB="0" distL="114300" distR="114300">
          <wp:extent cx="1901825" cy="523240"/>
          <wp:effectExtent l="0" t="0" r="3175" b="1016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1"/>
                  <a:stretch>
                    <a:fillRect/>
                  </a:stretch>
                </pic:blipFill>
                <pic:spPr>
                  <a:xfrm>
                    <a:off x="0" y="0"/>
                    <a:ext cx="1901825" cy="5232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9699F"/>
    <w:multiLevelType w:val="singleLevel"/>
    <w:tmpl w:val="80F9699F"/>
    <w:lvl w:ilvl="0" w:tentative="0">
      <w:start w:val="3"/>
      <w:numFmt w:val="decimal"/>
      <w:lvlText w:val="%1."/>
      <w:lvlJc w:val="left"/>
      <w:pPr>
        <w:tabs>
          <w:tab w:val="left" w:pos="312"/>
        </w:tabs>
      </w:pPr>
    </w:lvl>
  </w:abstractNum>
  <w:abstractNum w:abstractNumId="1">
    <w:nsid w:val="88287807"/>
    <w:multiLevelType w:val="singleLevel"/>
    <w:tmpl w:val="8828780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D4"/>
    <w:rsid w:val="0005698A"/>
    <w:rsid w:val="0009050B"/>
    <w:rsid w:val="00135424"/>
    <w:rsid w:val="001B1092"/>
    <w:rsid w:val="00211418"/>
    <w:rsid w:val="00283B68"/>
    <w:rsid w:val="002A1DB9"/>
    <w:rsid w:val="002A53C9"/>
    <w:rsid w:val="0030471C"/>
    <w:rsid w:val="00314CF0"/>
    <w:rsid w:val="00375BAF"/>
    <w:rsid w:val="003A4DEC"/>
    <w:rsid w:val="003C33AF"/>
    <w:rsid w:val="003E636F"/>
    <w:rsid w:val="00407C08"/>
    <w:rsid w:val="0041544E"/>
    <w:rsid w:val="00431E4E"/>
    <w:rsid w:val="004362D0"/>
    <w:rsid w:val="004675B2"/>
    <w:rsid w:val="00470FFB"/>
    <w:rsid w:val="00475014"/>
    <w:rsid w:val="004A4ED0"/>
    <w:rsid w:val="00517404"/>
    <w:rsid w:val="00596EDF"/>
    <w:rsid w:val="005A09BF"/>
    <w:rsid w:val="00603CDA"/>
    <w:rsid w:val="00642B5E"/>
    <w:rsid w:val="00675FEA"/>
    <w:rsid w:val="00682170"/>
    <w:rsid w:val="006D3DA0"/>
    <w:rsid w:val="006E62ED"/>
    <w:rsid w:val="00701FFB"/>
    <w:rsid w:val="0070344F"/>
    <w:rsid w:val="00780CA4"/>
    <w:rsid w:val="007A4BB0"/>
    <w:rsid w:val="007A6136"/>
    <w:rsid w:val="007F62B1"/>
    <w:rsid w:val="008274D8"/>
    <w:rsid w:val="00830773"/>
    <w:rsid w:val="008A5ADD"/>
    <w:rsid w:val="008D2CE7"/>
    <w:rsid w:val="008E4904"/>
    <w:rsid w:val="008F6DA3"/>
    <w:rsid w:val="009031C6"/>
    <w:rsid w:val="00926810"/>
    <w:rsid w:val="00932CFD"/>
    <w:rsid w:val="00997A06"/>
    <w:rsid w:val="009E1A07"/>
    <w:rsid w:val="009F1D10"/>
    <w:rsid w:val="00A10F73"/>
    <w:rsid w:val="00A2191F"/>
    <w:rsid w:val="00A76DB9"/>
    <w:rsid w:val="00AD5D7A"/>
    <w:rsid w:val="00AD5DF6"/>
    <w:rsid w:val="00AE0930"/>
    <w:rsid w:val="00B161DA"/>
    <w:rsid w:val="00B267EB"/>
    <w:rsid w:val="00B94BAF"/>
    <w:rsid w:val="00BA452B"/>
    <w:rsid w:val="00BE5E6E"/>
    <w:rsid w:val="00BF72CD"/>
    <w:rsid w:val="00BF7B55"/>
    <w:rsid w:val="00C14395"/>
    <w:rsid w:val="00C31B09"/>
    <w:rsid w:val="00C632C2"/>
    <w:rsid w:val="00C75971"/>
    <w:rsid w:val="00CA4EF3"/>
    <w:rsid w:val="00CD73A6"/>
    <w:rsid w:val="00CF18DB"/>
    <w:rsid w:val="00D35BD9"/>
    <w:rsid w:val="00D76291"/>
    <w:rsid w:val="00D77699"/>
    <w:rsid w:val="00DC7383"/>
    <w:rsid w:val="00DF63F3"/>
    <w:rsid w:val="00E12E18"/>
    <w:rsid w:val="00E222E5"/>
    <w:rsid w:val="00E50909"/>
    <w:rsid w:val="00E7061F"/>
    <w:rsid w:val="00E71EEB"/>
    <w:rsid w:val="00E72C66"/>
    <w:rsid w:val="00EA1CD0"/>
    <w:rsid w:val="00EB0FF2"/>
    <w:rsid w:val="00ED0395"/>
    <w:rsid w:val="00F604E5"/>
    <w:rsid w:val="00F71CD4"/>
    <w:rsid w:val="00F952F8"/>
    <w:rsid w:val="00FB61F7"/>
    <w:rsid w:val="0106551C"/>
    <w:rsid w:val="014B1507"/>
    <w:rsid w:val="01E44945"/>
    <w:rsid w:val="021637C8"/>
    <w:rsid w:val="0245277B"/>
    <w:rsid w:val="024E3CF4"/>
    <w:rsid w:val="027002E3"/>
    <w:rsid w:val="027A18F1"/>
    <w:rsid w:val="0280505B"/>
    <w:rsid w:val="029078B4"/>
    <w:rsid w:val="02CB349B"/>
    <w:rsid w:val="031624E5"/>
    <w:rsid w:val="03A749EF"/>
    <w:rsid w:val="03C83D65"/>
    <w:rsid w:val="03D17001"/>
    <w:rsid w:val="04260D7B"/>
    <w:rsid w:val="044166C4"/>
    <w:rsid w:val="0442435E"/>
    <w:rsid w:val="04797079"/>
    <w:rsid w:val="04A42620"/>
    <w:rsid w:val="05F62362"/>
    <w:rsid w:val="06BE3D9F"/>
    <w:rsid w:val="06ED7AEE"/>
    <w:rsid w:val="073F78FA"/>
    <w:rsid w:val="07A36955"/>
    <w:rsid w:val="08CF7D0B"/>
    <w:rsid w:val="0924653E"/>
    <w:rsid w:val="09282854"/>
    <w:rsid w:val="09293161"/>
    <w:rsid w:val="093B7FC7"/>
    <w:rsid w:val="09587909"/>
    <w:rsid w:val="095E4107"/>
    <w:rsid w:val="095E7ACA"/>
    <w:rsid w:val="09624D05"/>
    <w:rsid w:val="097532D7"/>
    <w:rsid w:val="097A0286"/>
    <w:rsid w:val="09852720"/>
    <w:rsid w:val="0A2B3DC7"/>
    <w:rsid w:val="0A646B47"/>
    <w:rsid w:val="0AE362D5"/>
    <w:rsid w:val="0AEC0C85"/>
    <w:rsid w:val="0B0D3C08"/>
    <w:rsid w:val="0B1F4FCA"/>
    <w:rsid w:val="0B4C0349"/>
    <w:rsid w:val="0B9A001A"/>
    <w:rsid w:val="0BC3219D"/>
    <w:rsid w:val="0C17340E"/>
    <w:rsid w:val="0C194F4D"/>
    <w:rsid w:val="0C7E51AD"/>
    <w:rsid w:val="0CBC0CD6"/>
    <w:rsid w:val="0CBF5ECE"/>
    <w:rsid w:val="0CFC6A19"/>
    <w:rsid w:val="0D17053F"/>
    <w:rsid w:val="0E0B5B50"/>
    <w:rsid w:val="0E6A7EAD"/>
    <w:rsid w:val="0E8D452A"/>
    <w:rsid w:val="0EBA4525"/>
    <w:rsid w:val="0EE1287B"/>
    <w:rsid w:val="0F4A6273"/>
    <w:rsid w:val="0FB73C25"/>
    <w:rsid w:val="0FEC258C"/>
    <w:rsid w:val="104D7A1E"/>
    <w:rsid w:val="11564CEA"/>
    <w:rsid w:val="115D55A1"/>
    <w:rsid w:val="11BC1E2C"/>
    <w:rsid w:val="11F07FB7"/>
    <w:rsid w:val="120F2E4E"/>
    <w:rsid w:val="122F5975"/>
    <w:rsid w:val="123F68D6"/>
    <w:rsid w:val="124C62FB"/>
    <w:rsid w:val="124F67FA"/>
    <w:rsid w:val="1270365D"/>
    <w:rsid w:val="12716DB7"/>
    <w:rsid w:val="127C432A"/>
    <w:rsid w:val="12B10A59"/>
    <w:rsid w:val="12BE36CB"/>
    <w:rsid w:val="12E343B8"/>
    <w:rsid w:val="12F1658D"/>
    <w:rsid w:val="13032510"/>
    <w:rsid w:val="130D376D"/>
    <w:rsid w:val="1311463F"/>
    <w:rsid w:val="13921231"/>
    <w:rsid w:val="139B1AA8"/>
    <w:rsid w:val="13BA582B"/>
    <w:rsid w:val="14127232"/>
    <w:rsid w:val="14665C72"/>
    <w:rsid w:val="146D7691"/>
    <w:rsid w:val="14A1650C"/>
    <w:rsid w:val="152354E8"/>
    <w:rsid w:val="153D198B"/>
    <w:rsid w:val="153F30AF"/>
    <w:rsid w:val="15AB00BB"/>
    <w:rsid w:val="16143E8C"/>
    <w:rsid w:val="1632045B"/>
    <w:rsid w:val="16AE753A"/>
    <w:rsid w:val="16B76658"/>
    <w:rsid w:val="16F62CB4"/>
    <w:rsid w:val="174F56CA"/>
    <w:rsid w:val="17557B92"/>
    <w:rsid w:val="17743906"/>
    <w:rsid w:val="17871A43"/>
    <w:rsid w:val="17B24056"/>
    <w:rsid w:val="17BA0741"/>
    <w:rsid w:val="180A6CA0"/>
    <w:rsid w:val="18437404"/>
    <w:rsid w:val="18500B50"/>
    <w:rsid w:val="18DF2B9E"/>
    <w:rsid w:val="199304F7"/>
    <w:rsid w:val="19934A01"/>
    <w:rsid w:val="19AB114A"/>
    <w:rsid w:val="1A254C3F"/>
    <w:rsid w:val="1B141488"/>
    <w:rsid w:val="1B26169C"/>
    <w:rsid w:val="1B6C175D"/>
    <w:rsid w:val="1B9731F2"/>
    <w:rsid w:val="1BB5773F"/>
    <w:rsid w:val="1C0E14A8"/>
    <w:rsid w:val="1C4058E2"/>
    <w:rsid w:val="1C677BEB"/>
    <w:rsid w:val="1C9B3CCF"/>
    <w:rsid w:val="1D4C7784"/>
    <w:rsid w:val="1D670E1D"/>
    <w:rsid w:val="1D8C34F3"/>
    <w:rsid w:val="1DA874DD"/>
    <w:rsid w:val="1DBB7232"/>
    <w:rsid w:val="1E3069EE"/>
    <w:rsid w:val="1E623760"/>
    <w:rsid w:val="1E643B69"/>
    <w:rsid w:val="1E9333BC"/>
    <w:rsid w:val="1F793765"/>
    <w:rsid w:val="1F827B45"/>
    <w:rsid w:val="1FC509DD"/>
    <w:rsid w:val="1FE26C75"/>
    <w:rsid w:val="1FEA44AC"/>
    <w:rsid w:val="1FF9016F"/>
    <w:rsid w:val="2087413B"/>
    <w:rsid w:val="209E6D9F"/>
    <w:rsid w:val="20B45923"/>
    <w:rsid w:val="21163667"/>
    <w:rsid w:val="21284C01"/>
    <w:rsid w:val="216926B3"/>
    <w:rsid w:val="21CD78B4"/>
    <w:rsid w:val="21D53081"/>
    <w:rsid w:val="21E8524E"/>
    <w:rsid w:val="225D3709"/>
    <w:rsid w:val="22627A80"/>
    <w:rsid w:val="23954614"/>
    <w:rsid w:val="23C91ECD"/>
    <w:rsid w:val="23E56379"/>
    <w:rsid w:val="23FA4CD2"/>
    <w:rsid w:val="240A53D9"/>
    <w:rsid w:val="24602F96"/>
    <w:rsid w:val="2461148C"/>
    <w:rsid w:val="24AD22D2"/>
    <w:rsid w:val="24D3542E"/>
    <w:rsid w:val="24E56A93"/>
    <w:rsid w:val="251D3D22"/>
    <w:rsid w:val="25716AD9"/>
    <w:rsid w:val="259450AB"/>
    <w:rsid w:val="25E261B4"/>
    <w:rsid w:val="26077B0C"/>
    <w:rsid w:val="26261DD8"/>
    <w:rsid w:val="267E0D07"/>
    <w:rsid w:val="271261D5"/>
    <w:rsid w:val="28252789"/>
    <w:rsid w:val="288B4291"/>
    <w:rsid w:val="289608B5"/>
    <w:rsid w:val="28A666D8"/>
    <w:rsid w:val="28AF2DD3"/>
    <w:rsid w:val="28F44149"/>
    <w:rsid w:val="29241667"/>
    <w:rsid w:val="29375E93"/>
    <w:rsid w:val="2949646F"/>
    <w:rsid w:val="2A1D1662"/>
    <w:rsid w:val="2A237D02"/>
    <w:rsid w:val="2A2E6097"/>
    <w:rsid w:val="2A366FA8"/>
    <w:rsid w:val="2AD35551"/>
    <w:rsid w:val="2AE13DE9"/>
    <w:rsid w:val="2B0062A0"/>
    <w:rsid w:val="2B6B7A61"/>
    <w:rsid w:val="2BD16E50"/>
    <w:rsid w:val="2C0935FB"/>
    <w:rsid w:val="2C2676E0"/>
    <w:rsid w:val="2C7971C9"/>
    <w:rsid w:val="2C87671A"/>
    <w:rsid w:val="2D48260D"/>
    <w:rsid w:val="2D8733A2"/>
    <w:rsid w:val="2DD70B79"/>
    <w:rsid w:val="2DEA5323"/>
    <w:rsid w:val="2E4E1902"/>
    <w:rsid w:val="2EBF6441"/>
    <w:rsid w:val="2F7056BB"/>
    <w:rsid w:val="2F8B4713"/>
    <w:rsid w:val="2FA511E6"/>
    <w:rsid w:val="2FF81A0B"/>
    <w:rsid w:val="300528EF"/>
    <w:rsid w:val="302F7AC6"/>
    <w:rsid w:val="30BE7B69"/>
    <w:rsid w:val="31135B4D"/>
    <w:rsid w:val="318241B9"/>
    <w:rsid w:val="31B300F3"/>
    <w:rsid w:val="31C510E9"/>
    <w:rsid w:val="31E901C4"/>
    <w:rsid w:val="32350B98"/>
    <w:rsid w:val="325C070A"/>
    <w:rsid w:val="3277442F"/>
    <w:rsid w:val="32B375E2"/>
    <w:rsid w:val="32EA6CC7"/>
    <w:rsid w:val="3310385F"/>
    <w:rsid w:val="331C6EF9"/>
    <w:rsid w:val="33282979"/>
    <w:rsid w:val="33492FAE"/>
    <w:rsid w:val="339C1316"/>
    <w:rsid w:val="33BD72AA"/>
    <w:rsid w:val="33F74B27"/>
    <w:rsid w:val="3412443F"/>
    <w:rsid w:val="346F2749"/>
    <w:rsid w:val="34741901"/>
    <w:rsid w:val="351D67CE"/>
    <w:rsid w:val="357148D4"/>
    <w:rsid w:val="35C225D6"/>
    <w:rsid w:val="36156F17"/>
    <w:rsid w:val="36447A39"/>
    <w:rsid w:val="36745A5E"/>
    <w:rsid w:val="36761B64"/>
    <w:rsid w:val="36AB772A"/>
    <w:rsid w:val="36F44B02"/>
    <w:rsid w:val="378D0A6A"/>
    <w:rsid w:val="379E7A71"/>
    <w:rsid w:val="37B640E3"/>
    <w:rsid w:val="37B74F63"/>
    <w:rsid w:val="37DA4691"/>
    <w:rsid w:val="37EE74B4"/>
    <w:rsid w:val="38594631"/>
    <w:rsid w:val="389B51CB"/>
    <w:rsid w:val="38B1682F"/>
    <w:rsid w:val="38E02745"/>
    <w:rsid w:val="393D56C2"/>
    <w:rsid w:val="39AD5418"/>
    <w:rsid w:val="3A876C09"/>
    <w:rsid w:val="3ACF6DFA"/>
    <w:rsid w:val="3AF72694"/>
    <w:rsid w:val="3BA26B18"/>
    <w:rsid w:val="3BC26823"/>
    <w:rsid w:val="3BD368E0"/>
    <w:rsid w:val="3BE16425"/>
    <w:rsid w:val="3C445810"/>
    <w:rsid w:val="3C992D86"/>
    <w:rsid w:val="3DC552D9"/>
    <w:rsid w:val="3DDC5BFE"/>
    <w:rsid w:val="3DF67634"/>
    <w:rsid w:val="3E8A56D7"/>
    <w:rsid w:val="3E8E7582"/>
    <w:rsid w:val="3ED64858"/>
    <w:rsid w:val="3EDE4109"/>
    <w:rsid w:val="3EF361E3"/>
    <w:rsid w:val="3F821DB6"/>
    <w:rsid w:val="3F87611E"/>
    <w:rsid w:val="40007FA2"/>
    <w:rsid w:val="40040037"/>
    <w:rsid w:val="404F5785"/>
    <w:rsid w:val="407D12E9"/>
    <w:rsid w:val="40B44CC5"/>
    <w:rsid w:val="413B4472"/>
    <w:rsid w:val="418004A3"/>
    <w:rsid w:val="421B355C"/>
    <w:rsid w:val="422027CC"/>
    <w:rsid w:val="4269733C"/>
    <w:rsid w:val="42744891"/>
    <w:rsid w:val="4289595D"/>
    <w:rsid w:val="42E74682"/>
    <w:rsid w:val="42F6292F"/>
    <w:rsid w:val="43992CDC"/>
    <w:rsid w:val="43E34047"/>
    <w:rsid w:val="441557D7"/>
    <w:rsid w:val="445B4B37"/>
    <w:rsid w:val="448674F6"/>
    <w:rsid w:val="44A639C6"/>
    <w:rsid w:val="45112538"/>
    <w:rsid w:val="452B519C"/>
    <w:rsid w:val="4589402F"/>
    <w:rsid w:val="45A120A8"/>
    <w:rsid w:val="46626889"/>
    <w:rsid w:val="46740D73"/>
    <w:rsid w:val="46AC0281"/>
    <w:rsid w:val="46B47CA1"/>
    <w:rsid w:val="46FA06CA"/>
    <w:rsid w:val="475A3EE6"/>
    <w:rsid w:val="475B2072"/>
    <w:rsid w:val="47845750"/>
    <w:rsid w:val="479D5AA4"/>
    <w:rsid w:val="47C9145E"/>
    <w:rsid w:val="47EF01ED"/>
    <w:rsid w:val="4832643A"/>
    <w:rsid w:val="49142F6F"/>
    <w:rsid w:val="497D0BEB"/>
    <w:rsid w:val="49970450"/>
    <w:rsid w:val="49BD3ABB"/>
    <w:rsid w:val="49E216E7"/>
    <w:rsid w:val="4A346041"/>
    <w:rsid w:val="4AAA5AD3"/>
    <w:rsid w:val="4AAD476E"/>
    <w:rsid w:val="4AF23E33"/>
    <w:rsid w:val="4B1B1403"/>
    <w:rsid w:val="4B2C2E3F"/>
    <w:rsid w:val="4B9470BA"/>
    <w:rsid w:val="4BC1278E"/>
    <w:rsid w:val="4BCA494F"/>
    <w:rsid w:val="4BD4242C"/>
    <w:rsid w:val="4BDE266A"/>
    <w:rsid w:val="4C153978"/>
    <w:rsid w:val="4C733FFF"/>
    <w:rsid w:val="4CBA3A7F"/>
    <w:rsid w:val="4CE025B0"/>
    <w:rsid w:val="4CE222D6"/>
    <w:rsid w:val="4D5700E1"/>
    <w:rsid w:val="4D782041"/>
    <w:rsid w:val="4D7F422B"/>
    <w:rsid w:val="4D9C7E2B"/>
    <w:rsid w:val="4DAC77AA"/>
    <w:rsid w:val="4DE51911"/>
    <w:rsid w:val="4E9F19DC"/>
    <w:rsid w:val="4ED42B24"/>
    <w:rsid w:val="4ED7766A"/>
    <w:rsid w:val="4F214AAB"/>
    <w:rsid w:val="4F230594"/>
    <w:rsid w:val="4F2E4D31"/>
    <w:rsid w:val="4F8041BC"/>
    <w:rsid w:val="4F83191C"/>
    <w:rsid w:val="4F894828"/>
    <w:rsid w:val="4FC11C9A"/>
    <w:rsid w:val="4FD12BAA"/>
    <w:rsid w:val="50BC4B8D"/>
    <w:rsid w:val="50CC5536"/>
    <w:rsid w:val="50ED28E5"/>
    <w:rsid w:val="50FC558B"/>
    <w:rsid w:val="511D4765"/>
    <w:rsid w:val="5136166D"/>
    <w:rsid w:val="51FF7B37"/>
    <w:rsid w:val="529719CF"/>
    <w:rsid w:val="52A85585"/>
    <w:rsid w:val="53346336"/>
    <w:rsid w:val="537C28BB"/>
    <w:rsid w:val="53E639E5"/>
    <w:rsid w:val="542F68CF"/>
    <w:rsid w:val="54B374D3"/>
    <w:rsid w:val="54B95A9B"/>
    <w:rsid w:val="54D06BD5"/>
    <w:rsid w:val="552C0019"/>
    <w:rsid w:val="553E59E5"/>
    <w:rsid w:val="55926D19"/>
    <w:rsid w:val="55EB17A9"/>
    <w:rsid w:val="5617480D"/>
    <w:rsid w:val="56605035"/>
    <w:rsid w:val="56A90D30"/>
    <w:rsid w:val="571539D1"/>
    <w:rsid w:val="571D30B6"/>
    <w:rsid w:val="57733233"/>
    <w:rsid w:val="58CE40B6"/>
    <w:rsid w:val="597230EC"/>
    <w:rsid w:val="59900E6C"/>
    <w:rsid w:val="59DF3AD3"/>
    <w:rsid w:val="5A657CA3"/>
    <w:rsid w:val="5AD142A7"/>
    <w:rsid w:val="5B2C444E"/>
    <w:rsid w:val="5B3665A4"/>
    <w:rsid w:val="5B711F2B"/>
    <w:rsid w:val="5C0D4D26"/>
    <w:rsid w:val="5C1E36B2"/>
    <w:rsid w:val="5C500229"/>
    <w:rsid w:val="5C6B1184"/>
    <w:rsid w:val="5C875956"/>
    <w:rsid w:val="5C931E1D"/>
    <w:rsid w:val="5D3B75FE"/>
    <w:rsid w:val="5D522E75"/>
    <w:rsid w:val="5D793731"/>
    <w:rsid w:val="5DE05F89"/>
    <w:rsid w:val="5E160F10"/>
    <w:rsid w:val="5E543C03"/>
    <w:rsid w:val="5EE41E26"/>
    <w:rsid w:val="5F633383"/>
    <w:rsid w:val="5F656C75"/>
    <w:rsid w:val="5F966EB4"/>
    <w:rsid w:val="60AE3147"/>
    <w:rsid w:val="60C84B64"/>
    <w:rsid w:val="60E07C6E"/>
    <w:rsid w:val="60F80DEA"/>
    <w:rsid w:val="617B7527"/>
    <w:rsid w:val="61D976BC"/>
    <w:rsid w:val="621A630F"/>
    <w:rsid w:val="62381E9A"/>
    <w:rsid w:val="62784233"/>
    <w:rsid w:val="62B104CC"/>
    <w:rsid w:val="62D43F72"/>
    <w:rsid w:val="62E843E1"/>
    <w:rsid w:val="62F06EB1"/>
    <w:rsid w:val="63195124"/>
    <w:rsid w:val="63782B0E"/>
    <w:rsid w:val="63D46A46"/>
    <w:rsid w:val="63E3439E"/>
    <w:rsid w:val="63F9726D"/>
    <w:rsid w:val="6414307A"/>
    <w:rsid w:val="649117B4"/>
    <w:rsid w:val="649A6EDA"/>
    <w:rsid w:val="64A60134"/>
    <w:rsid w:val="64F92C0B"/>
    <w:rsid w:val="656B21E3"/>
    <w:rsid w:val="65BC016B"/>
    <w:rsid w:val="65C51708"/>
    <w:rsid w:val="65CC0755"/>
    <w:rsid w:val="662A4033"/>
    <w:rsid w:val="66335074"/>
    <w:rsid w:val="66415249"/>
    <w:rsid w:val="666425CC"/>
    <w:rsid w:val="667A14E5"/>
    <w:rsid w:val="66B01C57"/>
    <w:rsid w:val="66D76C59"/>
    <w:rsid w:val="675165E2"/>
    <w:rsid w:val="67637EA7"/>
    <w:rsid w:val="678C75AC"/>
    <w:rsid w:val="67AD03C7"/>
    <w:rsid w:val="680D4B90"/>
    <w:rsid w:val="684471C0"/>
    <w:rsid w:val="688D02A9"/>
    <w:rsid w:val="68A00072"/>
    <w:rsid w:val="68BB787B"/>
    <w:rsid w:val="68D769E4"/>
    <w:rsid w:val="69C513AD"/>
    <w:rsid w:val="69D51CB4"/>
    <w:rsid w:val="6A182600"/>
    <w:rsid w:val="6A33212F"/>
    <w:rsid w:val="6A652F9C"/>
    <w:rsid w:val="6A930807"/>
    <w:rsid w:val="6AA26D55"/>
    <w:rsid w:val="6B227AEE"/>
    <w:rsid w:val="6B7916EE"/>
    <w:rsid w:val="6BC573A3"/>
    <w:rsid w:val="6C5C0B87"/>
    <w:rsid w:val="6C5F48C3"/>
    <w:rsid w:val="6C64155F"/>
    <w:rsid w:val="6CA16898"/>
    <w:rsid w:val="6CC17BE1"/>
    <w:rsid w:val="6CF33494"/>
    <w:rsid w:val="6DD34F8B"/>
    <w:rsid w:val="6E396ECC"/>
    <w:rsid w:val="6E6F1995"/>
    <w:rsid w:val="6E76613A"/>
    <w:rsid w:val="6EA62E2F"/>
    <w:rsid w:val="6EF32C6F"/>
    <w:rsid w:val="6EFF428C"/>
    <w:rsid w:val="6F021F5B"/>
    <w:rsid w:val="6F5116DB"/>
    <w:rsid w:val="6F5F6319"/>
    <w:rsid w:val="6F6A6DB6"/>
    <w:rsid w:val="6FA35116"/>
    <w:rsid w:val="6FB40F90"/>
    <w:rsid w:val="6FDC1CAC"/>
    <w:rsid w:val="704851DA"/>
    <w:rsid w:val="70A26A5E"/>
    <w:rsid w:val="70D731A5"/>
    <w:rsid w:val="71605C0A"/>
    <w:rsid w:val="719A3AB4"/>
    <w:rsid w:val="72864F1D"/>
    <w:rsid w:val="72B11EA1"/>
    <w:rsid w:val="73032333"/>
    <w:rsid w:val="730B4CBD"/>
    <w:rsid w:val="731061E3"/>
    <w:rsid w:val="735E3F48"/>
    <w:rsid w:val="736D19A7"/>
    <w:rsid w:val="73947AAB"/>
    <w:rsid w:val="743A6B66"/>
    <w:rsid w:val="749838D8"/>
    <w:rsid w:val="74F839A5"/>
    <w:rsid w:val="751A7C86"/>
    <w:rsid w:val="754327EB"/>
    <w:rsid w:val="755112CA"/>
    <w:rsid w:val="75765A19"/>
    <w:rsid w:val="75A66B03"/>
    <w:rsid w:val="75D61F3D"/>
    <w:rsid w:val="76B77AE4"/>
    <w:rsid w:val="76DD09DF"/>
    <w:rsid w:val="77B81150"/>
    <w:rsid w:val="77F545F2"/>
    <w:rsid w:val="78157590"/>
    <w:rsid w:val="78432BC0"/>
    <w:rsid w:val="784B21FC"/>
    <w:rsid w:val="787B5BFD"/>
    <w:rsid w:val="7890421C"/>
    <w:rsid w:val="78A35E1A"/>
    <w:rsid w:val="794838AF"/>
    <w:rsid w:val="797D652A"/>
    <w:rsid w:val="79BE779B"/>
    <w:rsid w:val="7A0A181F"/>
    <w:rsid w:val="7A0B516A"/>
    <w:rsid w:val="7A3A04B4"/>
    <w:rsid w:val="7A40759F"/>
    <w:rsid w:val="7A684751"/>
    <w:rsid w:val="7AA34AF2"/>
    <w:rsid w:val="7AA507CA"/>
    <w:rsid w:val="7AAE5070"/>
    <w:rsid w:val="7AFB2767"/>
    <w:rsid w:val="7B382602"/>
    <w:rsid w:val="7B4554E0"/>
    <w:rsid w:val="7BDF0378"/>
    <w:rsid w:val="7C262167"/>
    <w:rsid w:val="7C4665F8"/>
    <w:rsid w:val="7C58079C"/>
    <w:rsid w:val="7CC30C67"/>
    <w:rsid w:val="7D0E618F"/>
    <w:rsid w:val="7D1E4BB5"/>
    <w:rsid w:val="7D5B1B55"/>
    <w:rsid w:val="7D8D3CFA"/>
    <w:rsid w:val="7D984832"/>
    <w:rsid w:val="7DCB340E"/>
    <w:rsid w:val="7DCE3634"/>
    <w:rsid w:val="7DD538F3"/>
    <w:rsid w:val="7E223FBD"/>
    <w:rsid w:val="7E8549BE"/>
    <w:rsid w:val="7EA106A4"/>
    <w:rsid w:val="7EB75D1C"/>
    <w:rsid w:val="7EEF2165"/>
    <w:rsid w:val="7F1A26A0"/>
    <w:rsid w:val="7F331631"/>
    <w:rsid w:val="7F754CDD"/>
    <w:rsid w:val="7FFC42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7"/>
    <w:semiHidden/>
    <w:unhideWhenUsed/>
    <w:qFormat/>
    <w:uiPriority w:val="99"/>
    <w:pPr>
      <w:tabs>
        <w:tab w:val="center" w:pos="4153"/>
        <w:tab w:val="right" w:pos="8306"/>
      </w:tabs>
      <w:snapToGrid w:val="0"/>
      <w:jc w:val="left"/>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一级标题"/>
    <w:basedOn w:val="1"/>
    <w:link w:val="10"/>
    <w:qFormat/>
    <w:uiPriority w:val="0"/>
    <w:pPr>
      <w:spacing w:line="600" w:lineRule="exact"/>
      <w:ind w:firstLine="200" w:firstLineChars="200"/>
      <w:jc w:val="center"/>
    </w:pPr>
    <w:rPr>
      <w:rFonts w:ascii="方正小标宋简体" w:hAnsi="方正小标宋简体" w:eastAsia="方正小标宋简体" w:cs="方正小标宋简体"/>
      <w:sz w:val="44"/>
      <w:szCs w:val="44"/>
    </w:rPr>
  </w:style>
  <w:style w:type="character" w:customStyle="1" w:styleId="10">
    <w:name w:val="一级标题 Char"/>
    <w:basedOn w:val="8"/>
    <w:link w:val="9"/>
    <w:qFormat/>
    <w:uiPriority w:val="0"/>
    <w:rPr>
      <w:rFonts w:ascii="方正小标宋简体" w:hAnsi="方正小标宋简体" w:eastAsia="方正小标宋简体" w:cs="方正小标宋简体"/>
      <w:sz w:val="44"/>
      <w:szCs w:val="44"/>
    </w:rPr>
  </w:style>
  <w:style w:type="paragraph" w:customStyle="1" w:styleId="11">
    <w:name w:val="二级标题"/>
    <w:basedOn w:val="1"/>
    <w:link w:val="12"/>
    <w:qFormat/>
    <w:uiPriority w:val="0"/>
    <w:pPr>
      <w:spacing w:line="530" w:lineRule="exact"/>
      <w:ind w:firstLine="640" w:firstLineChars="200"/>
      <w:jc w:val="left"/>
    </w:pPr>
    <w:rPr>
      <w:rFonts w:ascii="楷体" w:hAnsi="楷体" w:eastAsia="楷体" w:cs="楷体"/>
      <w:sz w:val="32"/>
      <w:szCs w:val="32"/>
    </w:rPr>
  </w:style>
  <w:style w:type="character" w:customStyle="1" w:styleId="12">
    <w:name w:val="二级标题 Char"/>
    <w:basedOn w:val="8"/>
    <w:link w:val="11"/>
    <w:qFormat/>
    <w:uiPriority w:val="0"/>
    <w:rPr>
      <w:rFonts w:ascii="楷体" w:hAnsi="楷体" w:eastAsia="楷体" w:cs="楷体"/>
      <w:kern w:val="2"/>
      <w:sz w:val="32"/>
      <w:szCs w:val="32"/>
    </w:rPr>
  </w:style>
  <w:style w:type="paragraph" w:customStyle="1" w:styleId="13">
    <w:name w:val="三级标题"/>
    <w:basedOn w:val="1"/>
    <w:link w:val="14"/>
    <w:qFormat/>
    <w:uiPriority w:val="0"/>
    <w:pPr>
      <w:spacing w:line="530" w:lineRule="exact"/>
      <w:ind w:firstLine="640" w:firstLineChars="200"/>
      <w:jc w:val="left"/>
    </w:pPr>
    <w:rPr>
      <w:rFonts w:ascii="仿宋_GB2312" w:hAnsi="仿宋_GB2312" w:eastAsia="仿宋_GB2312" w:cs="仿宋_GB2312"/>
      <w:sz w:val="32"/>
      <w:szCs w:val="32"/>
    </w:rPr>
  </w:style>
  <w:style w:type="character" w:customStyle="1" w:styleId="14">
    <w:name w:val="三级标题 Char"/>
    <w:basedOn w:val="8"/>
    <w:link w:val="13"/>
    <w:qFormat/>
    <w:uiPriority w:val="0"/>
    <w:rPr>
      <w:rFonts w:ascii="仿宋_GB2312" w:hAnsi="仿宋_GB2312" w:eastAsia="仿宋_GB2312" w:cs="仿宋_GB2312"/>
      <w:sz w:val="32"/>
      <w:szCs w:val="32"/>
    </w:rPr>
  </w:style>
  <w:style w:type="character" w:customStyle="1" w:styleId="15">
    <w:name w:val="批注框文本 Char"/>
    <w:basedOn w:val="8"/>
    <w:link w:val="2"/>
    <w:semiHidden/>
    <w:qFormat/>
    <w:uiPriority w:val="99"/>
    <w:rPr>
      <w:sz w:val="18"/>
      <w:szCs w:val="18"/>
    </w:rPr>
  </w:style>
  <w:style w:type="character" w:customStyle="1" w:styleId="16">
    <w:name w:val="页眉 Char"/>
    <w:basedOn w:val="8"/>
    <w:link w:val="4"/>
    <w:semiHidden/>
    <w:qFormat/>
    <w:uiPriority w:val="99"/>
    <w:rPr>
      <w:sz w:val="18"/>
      <w:szCs w:val="18"/>
    </w:rPr>
  </w:style>
  <w:style w:type="character" w:customStyle="1" w:styleId="17">
    <w:name w:val="页脚 Char"/>
    <w:basedOn w:val="8"/>
    <w:link w:val="3"/>
    <w:semiHidden/>
    <w:qFormat/>
    <w:uiPriority w:val="99"/>
    <w:rPr>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21</Pages>
  <Words>1450</Words>
  <Characters>8269</Characters>
  <Lines>68</Lines>
  <Paragraphs>19</Paragraphs>
  <TotalTime>12</TotalTime>
  <ScaleCrop>false</ScaleCrop>
  <LinksUpToDate>false</LinksUpToDate>
  <CharactersWithSpaces>9700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2019-08-30T05:43:00Z</dcterms:created>
  <dc:creator>HP Inc.</dc:creator>
  <cp:lastModifiedBy>lingke+_+</cp:lastModifiedBy>
  <dcterms:modified xsi:type="dcterms:W3CDTF">2021-08-20T03:10:16Z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139440C2E72C439DABDEFAE0C62A1960</vt:lpwstr>
  </property>
</Properties>
</file>